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D17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42F8173">
            <w:pPr>
              <w:pStyle w:val="24"/>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660644A">
            <w:pPr>
              <w:pStyle w:val="24"/>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w:t>
            </w:r>
            <w:r>
              <w:rPr>
                <w:rFonts w:hint="eastAsia" w:ascii="黑体" w:hAnsi="黑体" w:eastAsia="黑体"/>
                <w:sz w:val="21"/>
                <w:szCs w:val="21"/>
              </w:rPr>
              <w:t>40</w:t>
            </w:r>
            <w:r>
              <w:rPr>
                <w:rFonts w:ascii="黑体" w:hAnsi="黑体" w:eastAsia="黑体"/>
                <w:sz w:val="21"/>
                <w:szCs w:val="21"/>
              </w:rPr>
              <w:fldChar w:fldCharType="end"/>
            </w:r>
            <w:bookmarkEnd w:id="0"/>
          </w:p>
        </w:tc>
      </w:tr>
      <w:tr w14:paraId="237A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450B5E4">
            <w:pPr>
              <w:pStyle w:val="24"/>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6B7E2C1">
            <w:pPr>
              <w:pStyle w:val="163"/>
              <w:framePr w:wrap="notBeside" w:vAnchor="page" w:hAnchor="page" w:x="1372" w:y="568"/>
              <w:rPr>
                <w:rFonts w:ascii="黑体" w:hAnsi="黑体" w:eastAsia="黑体"/>
                <w:sz w:val="21"/>
                <w:szCs w:val="21"/>
              </w:rPr>
            </w:pPr>
            <w:r>
              <w:rPr>
                <w:rFonts w:hint="eastAsia" w:ascii="黑体" w:hAnsi="黑体" w:eastAsia="黑体" w:cs="黑体"/>
                <w:lang w:val="en-US" w:eastAsia="zh-CN"/>
              </w:rPr>
              <w:t>X 01</w:t>
            </w:r>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326F78C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38CDE68">
            <w:pPr>
              <w:pStyle w:val="56"/>
              <w:framePr w:w="0" w:hRule="auto" w:wrap="auto" w:vAnchor="margin" w:hAnchor="text" w:xAlign="left" w:yAlign="inline"/>
              <w:rPr>
                <w:rFonts w:ascii="宋体" w:hAnsi="宋体"/>
                <w:sz w:val="28"/>
                <w:szCs w:val="28"/>
              </w:rPr>
            </w:pPr>
            <w:bookmarkStart w:id="1" w:name="_Hlk26473981"/>
            <w:r>
              <w:rPr>
                <w:rFonts w:hint="eastAsia"/>
              </w:rPr>
              <w:t>DB</w:t>
            </w:r>
            <w:r>
              <w:fldChar w:fldCharType="begin">
                <w:ffData>
                  <w:name w:val="c1"/>
                  <w:enabled/>
                  <w:calcOnExit w:val="0"/>
                  <w:textInput>
                    <w:maxLength w:val="8"/>
                  </w:textInput>
                </w:ffData>
              </w:fldChar>
            </w:r>
            <w:bookmarkStart w:id="2" w:name="c1"/>
            <w:r>
              <w:instrText xml:space="preserve"> FORMTEXT </w:instrText>
            </w:r>
            <w:r>
              <w:fldChar w:fldCharType="separate"/>
            </w:r>
            <w:r>
              <w:rPr>
                <w:rFonts w:hint="eastAsia"/>
              </w:rPr>
              <w:t>42</w:t>
            </w:r>
            <w:r>
              <w:fldChar w:fldCharType="end"/>
            </w:r>
            <w:bookmarkEnd w:id="2"/>
          </w:p>
        </w:tc>
      </w:tr>
    </w:tbl>
    <w:p w14:paraId="7B4413A6">
      <w:pPr>
        <w:pStyle w:val="57"/>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1"/>
    <w:p w14:paraId="6F2759E8">
      <w:pPr>
        <w:pStyle w:val="202"/>
        <w:framePr w:wrap="around"/>
        <w:rPr>
          <w:rFonts w:hint="default" w:eastAsia="黑体"/>
          <w:lang w:val="en-US" w:eastAsia="zh-CN"/>
        </w:rPr>
      </w:pPr>
      <w:r>
        <w:rPr>
          <w:lang w:val="fr-FR"/>
        </w:rPr>
        <w:t>DB</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rFonts w:hint="eastAsia"/>
        </w:rPr>
        <w:t>42</w:t>
      </w:r>
      <w:r>
        <w:rPr>
          <w:lang w:val="fr-FR"/>
        </w:rPr>
        <w:t>/T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rFonts w:hint="eastAsia"/>
        </w:rPr>
        <w:t>XXXX</w:t>
      </w:r>
      <w:r>
        <w:fldChar w:fldCharType="end"/>
      </w:r>
      <w:bookmarkEnd w:id="5"/>
      <w:r>
        <w:rPr>
          <w:rFonts w:hAnsi="黑体"/>
          <w:lang w:val="fr-FR"/>
        </w:rPr>
        <w:t>—</w:t>
      </w:r>
      <w:r>
        <w:rPr>
          <w:rFonts w:hint="eastAsia" w:hAnsi="黑体"/>
          <w:lang w:val="en-US" w:eastAsia="zh-CN"/>
        </w:rPr>
        <w:t>202X</w:t>
      </w:r>
    </w:p>
    <w:p w14:paraId="3D2B416B">
      <w:pPr>
        <w:pStyle w:val="203"/>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6A1EBC0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f4jzNgAAAAM&#10;AQAADwAAAAAAAAABACAAAAAiAAAAZHJzL2Rvd25yZXYueG1sUEsBAhQAFAAAAAgAh07iQHBOIjPj&#10;AQAAqgMAAA4AAAAAAAAAAQAgAAAAJwEAAGRycy9lMm9Eb2MueG1sUEsFBgAAAAAGAAYAWQEAAHwF&#10;AAAAAA==&#10;">
                <v:fill on="f" focussize="0,0"/>
                <v:stroke color="#000000" joinstyle="round"/>
                <v:imagedata o:title=""/>
                <o:lock v:ext="edit" aspectratio="f"/>
              </v:line>
            </w:pict>
          </mc:Fallback>
        </mc:AlternateContent>
      </w:r>
    </w:p>
    <w:p w14:paraId="59ED13DB">
      <w:pPr>
        <w:pStyle w:val="57"/>
        <w:framePr w:w="9639" w:h="6976" w:hRule="exact" w:hSpace="0" w:vSpace="0" w:wrap="around" w:hAnchor="page" w:y="6408"/>
        <w:jc w:val="center"/>
        <w:rPr>
          <w:rFonts w:ascii="黑体" w:hAnsi="黑体" w:eastAsia="黑体"/>
          <w:b w:val="0"/>
          <w:bCs w:val="0"/>
          <w:w w:val="100"/>
        </w:rPr>
      </w:pPr>
    </w:p>
    <w:p w14:paraId="34670808">
      <w:pPr>
        <w:pStyle w:val="132"/>
        <w:keepNext w:val="0"/>
        <w:keepLines w:val="0"/>
        <w:pageBreakBefore w:val="0"/>
        <w:framePr w:w="9639" w:h="6974" w:hRule="exact" w:wrap="around" w:vAnchor="page" w:hAnchor="page" w:x="1419" w:y="6408" w:anchorLock="1"/>
        <w:widowControl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700" w:lineRule="exact"/>
        <w:textAlignment w:val="auto"/>
        <w:rPr>
          <w:rFonts w:hint="eastAsia" w:ascii="黑体" w:hAnsi="黑体" w:eastAsia="黑体" w:cs="黑体"/>
          <w:sz w:val="52"/>
          <w:szCs w:val="52"/>
        </w:rPr>
      </w:pPr>
      <w:bookmarkStart w:id="7" w:name="ESTD_NAME"/>
      <w:bookmarkStart w:id="73" w:name="_GoBack"/>
      <w:r>
        <w:rPr>
          <w:rFonts w:hint="eastAsia" w:ascii="黑体" w:hAnsi="黑体" w:eastAsia="黑体" w:cs="黑体"/>
          <w:sz w:val="52"/>
          <w:szCs w:val="52"/>
          <w:lang w:val="en-US" w:eastAsia="zh-CN"/>
        </w:rPr>
        <w:t>检验检测机构化学消耗品管理通用指南</w:t>
      </w:r>
      <w:bookmarkEnd w:id="73"/>
    </w:p>
    <w:p w14:paraId="1B62C9F3">
      <w:pPr>
        <w:pStyle w:val="130"/>
        <w:keepNext w:val="0"/>
        <w:keepLines w:val="0"/>
        <w:pageBreakBefore w:val="0"/>
        <w:framePr w:w="9639" w:h="6974" w:hRule="exact" w:wrap="around" w:vAnchor="page" w:hAnchor="page" w:x="1419" w:y="6408" w:anchorLock="1"/>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sz w:val="28"/>
          <w:szCs w:val="28"/>
        </w:rPr>
        <w:t>General Guidelines for Chemical Consumables Management in Inspection and Testing Institutions</w:t>
      </w:r>
    </w:p>
    <w:p w14:paraId="16572D0B">
      <w:pPr>
        <w:pStyle w:val="130"/>
        <w:keepNext w:val="0"/>
        <w:keepLines w:val="0"/>
        <w:pageBreakBefore w:val="0"/>
        <w:framePr w:w="9639" w:h="6974" w:hRule="exact" w:wrap="around" w:vAnchor="page" w:hAnchor="page" w:x="1419" w:y="6408" w:anchorLock="1"/>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textAlignment w:val="auto"/>
        <w:rPr>
          <w:rFonts w:hint="default" w:ascii="Times New Roman" w:hAnsi="Times New Roman" w:cs="Times New Roman"/>
          <w:sz w:val="28"/>
          <w:szCs w:val="28"/>
        </w:rPr>
      </w:pPr>
    </w:p>
    <w:p w14:paraId="73872967">
      <w:pPr>
        <w:pStyle w:val="132"/>
        <w:framePr w:w="9639" w:h="6974" w:hRule="exact" w:wrap="around" w:vAnchor="page" w:hAnchor="page" w:x="1419" w:y="6408" w:anchorLock="1"/>
        <w:textAlignment w:val="bottom"/>
        <w:rPr>
          <w:rFonts w:ascii="黑体" w:hAnsi="黑体" w:eastAsia="黑体"/>
          <w:szCs w:val="28"/>
        </w:rPr>
      </w:pPr>
    </w:p>
    <w:p w14:paraId="03B43B30">
      <w:pPr>
        <w:pStyle w:val="130"/>
        <w:framePr w:w="9639" w:h="6974" w:hRule="exact" w:wrap="around" w:vAnchor="page" w:hAnchor="page" w:x="1419" w:y="6408" w:anchorLock="1"/>
        <w:pBdr>
          <w:top w:val="none" w:color="auto" w:sz="0" w:space="0"/>
          <w:left w:val="none" w:color="auto" w:sz="0" w:space="0"/>
          <w:bottom w:val="none" w:color="auto" w:sz="0" w:space="0"/>
          <w:right w:val="none" w:color="auto" w:sz="0" w:space="0"/>
        </w:pBdr>
        <w:rPr>
          <w:sz w:val="21"/>
          <w:szCs w:val="28"/>
        </w:rPr>
      </w:pPr>
      <w:r>
        <w:rPr>
          <w:rFonts w:eastAsia="黑体"/>
          <w:szCs w:val="28"/>
        </w:rPr>
        <w:t xml:space="preserve"> </w:t>
      </w:r>
      <w:bookmarkEnd w:id="7"/>
      <w:bookmarkStart w:id="8" w:name="CMPLSH_DATE"/>
      <w:r>
        <w:rPr>
          <w:sz w:val="21"/>
          <w:szCs w:val="28"/>
        </w:rPr>
        <w:t>   </w:t>
      </w:r>
    </w:p>
    <w:p w14:paraId="06FDF571">
      <w:pPr>
        <w:pStyle w:val="130"/>
        <w:framePr w:w="9639" w:h="6974" w:hRule="exact" w:wrap="around" w:vAnchor="page" w:hAnchor="page" w:x="1419" w:y="6408" w:anchorLock="1"/>
        <w:pBdr>
          <w:top w:val="none" w:color="auto" w:sz="0" w:space="0"/>
          <w:left w:val="none" w:color="auto" w:sz="0" w:space="0"/>
          <w:bottom w:val="none" w:color="auto" w:sz="0" w:space="0"/>
          <w:right w:val="none" w:color="auto" w:sz="0" w:space="0"/>
        </w:pBdr>
        <w:rPr>
          <w:rFonts w:hint="eastAsia" w:ascii="Times New Roman" w:hAnsi="Times New Roman" w:eastAsia="宋体" w:cs="Times New Roman"/>
          <w:sz w:val="28"/>
          <w:szCs w:val="28"/>
          <w:lang w:eastAsia="zh-CN"/>
        </w:rPr>
      </w:pPr>
      <w:r>
        <w:rPr>
          <w:rFonts w:hint="eastAsia" w:ascii="Times New Roman" w:cs="Times New Roman"/>
          <w:sz w:val="28"/>
          <w:szCs w:val="28"/>
          <w:lang w:eastAsia="zh-CN"/>
        </w:rPr>
        <w:t>（</w:t>
      </w:r>
      <w:r>
        <w:rPr>
          <w:rFonts w:hint="eastAsia" w:ascii="Times New Roman" w:cs="Times New Roman"/>
          <w:sz w:val="28"/>
          <w:szCs w:val="28"/>
          <w:lang w:val="en-US" w:eastAsia="zh-CN"/>
        </w:rPr>
        <w:t>征求意见稿</w:t>
      </w:r>
      <w:r>
        <w:rPr>
          <w:rFonts w:hint="eastAsia" w:ascii="Times New Roman" w:cs="Times New Roman"/>
          <w:sz w:val="28"/>
          <w:szCs w:val="28"/>
          <w:lang w:eastAsia="zh-CN"/>
        </w:rPr>
        <w:t>）</w:t>
      </w:r>
    </w:p>
    <w:p w14:paraId="5073ED6E">
      <w:pPr>
        <w:pStyle w:val="132"/>
        <w:framePr w:w="9639" w:h="6974" w:hRule="exact" w:wrap="around" w:vAnchor="page" w:hAnchor="page" w:x="1419" w:y="6408" w:anchorLock="1"/>
        <w:textAlignment w:val="bottom"/>
        <w:rPr>
          <w:sz w:val="21"/>
          <w:szCs w:val="28"/>
        </w:rPr>
      </w:pPr>
      <w:r>
        <w:rPr>
          <w:sz w:val="21"/>
          <w:szCs w:val="28"/>
        </w:rPr>
        <w:t>  </w:t>
      </w:r>
      <w:bookmarkEnd w:id="8"/>
    </w:p>
    <w:p w14:paraId="3B0D1CCE">
      <w:pPr>
        <w:pStyle w:val="200"/>
        <w:framePr w:wrap="around" w:y="14176"/>
      </w:pPr>
      <w:r>
        <w:rPr>
          <w:rFonts w:hint="eastAsia" w:ascii="黑体"/>
          <w:lang w:val="en-US" w:eastAsia="zh-CN"/>
        </w:rPr>
        <w:t>202X</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14:paraId="13CA83A0">
      <w:pPr>
        <w:pStyle w:val="201"/>
        <w:framePr w:wrap="around" w:y="14176"/>
      </w:pPr>
      <w:r>
        <w:rPr>
          <w:rFonts w:hint="eastAsia" w:ascii="黑体"/>
          <w:lang w:val="en-US" w:eastAsia="zh-CN"/>
        </w:rPr>
        <w:t>202X</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14:paraId="068B19F8">
      <w:pPr>
        <w:pStyle w:val="158"/>
        <w:framePr w:h="584" w:hRule="exact" w:hSpace="181" w:vSpace="181" w:wrap="around" w:y="15027"/>
        <w:rPr>
          <w:rFonts w:hAnsi="黑体"/>
        </w:rPr>
      </w:pPr>
      <w:r>
        <w:rPr>
          <w:rFonts w:hAnsi="黑体"/>
          <w:spacing w:val="20"/>
          <w:sz w:val="28"/>
        </w:rPr>
        <w:fldChar w:fldCharType="begin">
          <w:ffData>
            <w:name w:val="fm"/>
            <w:enabled/>
            <w:calcOnExit w:val="0"/>
            <w:textInput/>
          </w:ffData>
        </w:fldChar>
      </w:r>
      <w:bookmarkStart w:id="13" w:name="fm"/>
      <w:r>
        <w:rPr>
          <w:rFonts w:hAnsi="黑体"/>
          <w:spacing w:val="20"/>
          <w:sz w:val="28"/>
        </w:rPr>
        <w:instrText xml:space="preserve"> FORMTEXT </w:instrText>
      </w:r>
      <w:r>
        <w:rPr>
          <w:rFonts w:hAnsi="黑体"/>
          <w:spacing w:val="20"/>
          <w:sz w:val="28"/>
        </w:rPr>
        <w:fldChar w:fldCharType="separate"/>
      </w:r>
      <w:r>
        <w:rPr>
          <w:rFonts w:hint="eastAsia" w:hAnsi="黑体"/>
          <w:spacing w:val="20"/>
          <w:sz w:val="28"/>
        </w:rPr>
        <w:t>湖北省市场监督管理局</w:t>
      </w:r>
      <w:r>
        <w:rPr>
          <w:rFonts w:hAnsi="黑体"/>
          <w:spacing w:val="20"/>
          <w:sz w:val="28"/>
        </w:rPr>
        <w:fldChar w:fldCharType="end"/>
      </w:r>
      <w:bookmarkEnd w:id="13"/>
      <w:r>
        <w:rPr>
          <w:rFonts w:ascii="Times New Roman"/>
          <w:w w:val="100"/>
          <w:sz w:val="28"/>
        </w:rPr>
        <w:t>  </w:t>
      </w:r>
      <w:r>
        <w:rPr>
          <w:rStyle w:val="236"/>
          <w:rFonts w:hint="eastAsia" w:hAnsi="黑体"/>
          <w:position w:val="0"/>
        </w:rPr>
        <w:t>发</w:t>
      </w:r>
      <w:r>
        <w:rPr>
          <w:rStyle w:val="236"/>
          <w:rFonts w:hint="eastAsia" w:hAnsi="黑体"/>
          <w:spacing w:val="0"/>
          <w:position w:val="0"/>
        </w:rPr>
        <w:t>布</w:t>
      </w:r>
    </w:p>
    <w:p w14:paraId="6D591F1D">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mV9UoOMB&#10;AACqAwAADgAAAAAAAAABACAAAAAmAQAAZHJzL2Uyb0RvYy54bWxQSwUGAAAAAAYABgBZAQAAewUA&#10;AAAA&#10;">
                <v:fill on="f" focussize="0,0"/>
                <v:stroke color="#000000" joinstyle="round"/>
                <v:imagedata o:title=""/>
                <o:lock v:ext="edit" aspectratio="f"/>
                <w10:anchorlock/>
              </v:line>
            </w:pict>
          </mc:Fallback>
        </mc:AlternateContent>
      </w:r>
    </w:p>
    <w:p w14:paraId="63296A8D">
      <w:pPr>
        <w:spacing w:before="0" w:beforeLines="0" w:after="0" w:afterLines="0" w:line="240" w:lineRule="auto"/>
        <w:ind w:left="0" w:leftChars="0" w:right="0" w:rightChars="0" w:firstLine="0" w:firstLineChars="0"/>
        <w:jc w:val="center"/>
        <w:rPr>
          <w:rFonts w:hint="eastAsia" w:ascii="黑体" w:hAnsi="黑体" w:eastAsia="黑体" w:cs="黑体"/>
          <w:sz w:val="32"/>
          <w:szCs w:val="32"/>
          <w:lang w:val="en-US"/>
        </w:rPr>
      </w:pPr>
      <w:bookmarkStart w:id="14" w:name="_Toc180775852"/>
      <w:bookmarkStart w:id="15" w:name="BookMark6"/>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次</w:t>
      </w:r>
    </w:p>
    <w:p w14:paraId="7B7C9725">
      <w:pPr>
        <w:pStyle w:val="252"/>
        <w:tabs>
          <w:tab w:val="right" w:leader="dot" w:pos="9355"/>
        </w:tabs>
        <w:rPr>
          <w:rFonts w:hint="default" w:ascii="宋体" w:hAnsi="宋体" w:eastAsia="宋体" w:cs="宋体"/>
          <w:snapToGrid w:val="0"/>
          <w:color w:val="000000"/>
          <w:spacing w:val="17"/>
          <w:kern w:val="0"/>
          <w:szCs w:val="21"/>
          <w:lang w:val="en-US" w:eastAsia="zh-CN"/>
        </w:rPr>
      </w:pPr>
      <w:r>
        <w:rPr>
          <w:rFonts w:hint="default" w:ascii="宋体" w:hAnsi="宋体" w:eastAsia="宋体" w:cs="宋体"/>
          <w:snapToGrid w:val="0"/>
          <w:color w:val="000000"/>
          <w:spacing w:val="17"/>
          <w:kern w:val="0"/>
          <w:szCs w:val="21"/>
          <w:lang w:val="en-US" w:eastAsia="zh-CN"/>
        </w:rPr>
        <w:fldChar w:fldCharType="begin"/>
      </w:r>
      <w:r>
        <w:rPr>
          <w:rFonts w:hint="default" w:ascii="宋体" w:hAnsi="宋体" w:eastAsia="宋体" w:cs="宋体"/>
          <w:snapToGrid w:val="0"/>
          <w:color w:val="000000"/>
          <w:spacing w:val="17"/>
          <w:kern w:val="0"/>
          <w:szCs w:val="21"/>
          <w:lang w:val="en-US" w:eastAsia="zh-CN"/>
        </w:rPr>
        <w:instrText xml:space="preserve">TOC \o "1-1" \h \u </w:instrText>
      </w:r>
      <w:r>
        <w:rPr>
          <w:rFonts w:hint="default" w:ascii="宋体" w:hAnsi="宋体" w:eastAsia="宋体" w:cs="宋体"/>
          <w:snapToGrid w:val="0"/>
          <w:color w:val="000000"/>
          <w:spacing w:val="17"/>
          <w:kern w:val="0"/>
          <w:szCs w:val="21"/>
          <w:lang w:val="en-US" w:eastAsia="zh-CN"/>
        </w:rPr>
        <w:fldChar w:fldCharType="separate"/>
      </w:r>
    </w:p>
    <w:sdt>
      <w:sdtPr>
        <w:rPr>
          <w:rFonts w:ascii="宋体" w:hAnsi="宋体" w:eastAsia="宋体" w:cs="Times New Roman"/>
          <w:kern w:val="2"/>
          <w:sz w:val="21"/>
          <w:szCs w:val="24"/>
          <w:lang w:val="en-US" w:eastAsia="zh-CN" w:bidi="ar-SA"/>
        </w:rPr>
        <w:id w:val="147454605"/>
        <w15:color w:val="DBDBDB"/>
        <w:docPartObj>
          <w:docPartGallery w:val="Table of Contents"/>
          <w:docPartUnique/>
        </w:docPartObj>
      </w:sdtPr>
      <w:sdtEndPr>
        <w:rPr>
          <w:rFonts w:hint="default" w:ascii="宋体" w:hAnsi="宋体" w:eastAsia="宋体" w:cs="宋体"/>
          <w:b/>
          <w:snapToGrid w:val="0"/>
          <w:color w:val="000000"/>
          <w:spacing w:val="17"/>
          <w:kern w:val="0"/>
          <w:sz w:val="20"/>
          <w:szCs w:val="21"/>
          <w:lang w:val="en-US" w:eastAsia="zh-CN" w:bidi="ar-SA"/>
        </w:rPr>
      </w:sdtEndPr>
      <w:sdtContent>
        <w:p w14:paraId="4AD16536">
          <w:pPr>
            <w:spacing w:before="0" w:beforeLines="0" w:after="0" w:afterLines="0" w:line="240" w:lineRule="auto"/>
            <w:ind w:left="0" w:leftChars="0" w:right="0" w:rightChars="0" w:firstLine="0" w:firstLineChars="0"/>
            <w:jc w:val="center"/>
          </w:pPr>
        </w:p>
        <w:p w14:paraId="46F304F8">
          <w:pPr>
            <w:pStyle w:val="252"/>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default" w:ascii="宋体" w:hAnsi="宋体" w:eastAsia="宋体" w:cs="宋体"/>
              <w:b/>
              <w:snapToGrid w:val="0"/>
              <w:color w:val="000000"/>
              <w:spacing w:val="17"/>
              <w:kern w:val="0"/>
              <w:sz w:val="20"/>
              <w:szCs w:val="21"/>
              <w:lang w:val="en-US" w:eastAsia="zh-CN"/>
            </w:rPr>
            <w:fldChar w:fldCharType="begin"/>
          </w:r>
          <w:r>
            <w:rPr>
              <w:rFonts w:hint="default" w:ascii="宋体" w:hAnsi="宋体" w:eastAsia="宋体" w:cs="宋体"/>
              <w:b/>
              <w:snapToGrid w:val="0"/>
              <w:color w:val="000000"/>
              <w:spacing w:val="17"/>
              <w:kern w:val="0"/>
              <w:sz w:val="20"/>
              <w:szCs w:val="21"/>
              <w:lang w:val="en-US" w:eastAsia="zh-CN"/>
            </w:rPr>
            <w:instrText xml:space="preserve">TOC \o "1-2" \h \u </w:instrText>
          </w:r>
          <w:r>
            <w:rPr>
              <w:rFonts w:hint="default" w:ascii="宋体" w:hAnsi="宋体" w:eastAsia="宋体" w:cs="宋体"/>
              <w:b/>
              <w:snapToGrid w:val="0"/>
              <w:color w:val="000000"/>
              <w:spacing w:val="17"/>
              <w:kern w:val="0"/>
              <w:sz w:val="20"/>
              <w:szCs w:val="21"/>
              <w:lang w:val="en-US" w:eastAsia="zh-CN"/>
            </w:rPr>
            <w:fldChar w:fldCharType="separate"/>
          </w: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_Toc1918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z w:val="21"/>
              <w:szCs w:val="21"/>
            </w:rPr>
            <w:t>前言</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_Toc1918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II</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48DA2F10">
          <w:pPr>
            <w:pStyle w:val="252"/>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_Toc31522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i w:val="0"/>
              <w:sz w:val="21"/>
              <w:szCs w:val="21"/>
            </w:rPr>
            <w:t xml:space="preserve">1 </w:t>
          </w:r>
          <w:r>
            <w:rPr>
              <w:rFonts w:hint="eastAsia" w:ascii="宋体" w:hAnsi="宋体" w:eastAsia="宋体" w:cs="宋体"/>
              <w:b w:val="0"/>
              <w:bCs/>
              <w:sz w:val="21"/>
              <w:szCs w:val="21"/>
            </w:rPr>
            <w:t>范围</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_Toc31522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189A573B">
          <w:pPr>
            <w:pStyle w:val="252"/>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_Toc12933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i w:val="0"/>
              <w:sz w:val="21"/>
              <w:szCs w:val="21"/>
            </w:rPr>
            <w:t xml:space="preserve">2 </w:t>
          </w:r>
          <w:r>
            <w:rPr>
              <w:rFonts w:hint="eastAsia" w:ascii="宋体" w:hAnsi="宋体" w:eastAsia="宋体" w:cs="宋体"/>
              <w:b w:val="0"/>
              <w:bCs/>
              <w:sz w:val="21"/>
              <w:szCs w:val="21"/>
            </w:rPr>
            <w:t>规范性引用文件</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_Toc12933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2A7ED165">
          <w:pPr>
            <w:pStyle w:val="252"/>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_Toc19914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i w:val="0"/>
              <w:sz w:val="21"/>
              <w:szCs w:val="21"/>
            </w:rPr>
            <w:t xml:space="preserve">3 </w:t>
          </w:r>
          <w:r>
            <w:rPr>
              <w:rFonts w:hint="eastAsia" w:ascii="宋体" w:hAnsi="宋体" w:eastAsia="宋体" w:cs="宋体"/>
              <w:b w:val="0"/>
              <w:bCs/>
              <w:sz w:val="21"/>
              <w:szCs w:val="21"/>
            </w:rPr>
            <w:t>术语和定义</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_Toc19914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2CB0E092">
          <w:pPr>
            <w:pStyle w:val="253"/>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_Toc30577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z w:val="21"/>
              <w:szCs w:val="21"/>
              <w:lang w:val="en-US" w:eastAsia="zh-CN"/>
            </w:rPr>
            <w:t>3.1化学消耗品</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_Toc30577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5564587B">
          <w:pPr>
            <w:pStyle w:val="253"/>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_Toc2941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z w:val="21"/>
              <w:szCs w:val="21"/>
              <w:lang w:val="en-US" w:eastAsia="zh-CN"/>
            </w:rPr>
            <w:t>3.2库存流程管理</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_Toc2941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28509313">
          <w:pPr>
            <w:pStyle w:val="253"/>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_Toc12914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z w:val="21"/>
              <w:szCs w:val="21"/>
            </w:rPr>
            <w:t>3</w:t>
          </w:r>
          <w:r>
            <w:rPr>
              <w:rFonts w:hint="eastAsia" w:ascii="宋体" w:hAnsi="宋体" w:eastAsia="宋体" w:cs="宋体"/>
              <w:b w:val="0"/>
              <w:bCs/>
              <w:sz w:val="21"/>
              <w:szCs w:val="21"/>
              <w:lang w:val="en-US" w:eastAsia="zh-CN"/>
            </w:rPr>
            <w:t>.3 台账数据管理</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_Toc12914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5150E136">
          <w:pPr>
            <w:pStyle w:val="252"/>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_Toc4405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i w:val="0"/>
              <w:sz w:val="21"/>
              <w:szCs w:val="21"/>
            </w:rPr>
            <w:t xml:space="preserve">4 </w:t>
          </w:r>
          <w:r>
            <w:rPr>
              <w:rFonts w:hint="eastAsia" w:ascii="宋体" w:hAnsi="宋体" w:eastAsia="宋体" w:cs="宋体"/>
              <w:b w:val="0"/>
              <w:bCs/>
              <w:sz w:val="21"/>
              <w:szCs w:val="21"/>
            </w:rPr>
            <w:t>基本要求</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_Toc4405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2A32C413">
          <w:pPr>
            <w:pStyle w:val="253"/>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_Toc17210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z w:val="21"/>
              <w:szCs w:val="21"/>
              <w:lang w:val="en-US" w:eastAsia="zh-CN"/>
            </w:rPr>
            <w:t>4.1检验检测机构化学消耗品管理人员要求</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_Toc17210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56949732">
          <w:pPr>
            <w:pStyle w:val="253"/>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_Toc9904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z w:val="21"/>
              <w:szCs w:val="21"/>
              <w:lang w:val="en-US" w:eastAsia="zh-CN"/>
            </w:rPr>
            <w:t>4.2化学消耗品库存环境管理要求</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_Toc9904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20269204">
          <w:pPr>
            <w:pStyle w:val="253"/>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_Toc8815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z w:val="21"/>
              <w:szCs w:val="21"/>
              <w:lang w:val="en-US" w:eastAsia="zh-CN"/>
            </w:rPr>
            <w:t>4.3化学消耗品库存流程管理要求</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_Toc8815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7E81A6BA">
          <w:pPr>
            <w:pStyle w:val="253"/>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napToGrid w:val="0"/>
              <w:color w:val="000000"/>
              <w:spacing w:val="17"/>
              <w:kern w:val="0"/>
              <w:sz w:val="21"/>
              <w:szCs w:val="21"/>
              <w:lang w:val="en-US" w:eastAsia="zh-CN"/>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_Toc17599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z w:val="21"/>
              <w:szCs w:val="21"/>
              <w:lang w:val="en-US" w:eastAsia="zh-CN"/>
            </w:rPr>
            <w:t>4.4化学消耗品台账数据管理要求</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_Toc17599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2CC0B72E">
          <w:pPr>
            <w:pStyle w:val="252"/>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_Toc21597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z w:val="21"/>
              <w:szCs w:val="21"/>
              <w:lang w:val="en-US" w:eastAsia="zh-CN"/>
            </w:rPr>
            <w:t>5.工作要求</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_Toc21597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07E6BD14">
          <w:pPr>
            <w:pStyle w:val="253"/>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_Toc7445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z w:val="21"/>
              <w:szCs w:val="21"/>
              <w:lang w:val="en-US" w:eastAsia="zh-CN"/>
            </w:rPr>
            <w:t>5.1标准品库存申购领用盘存管理</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_Toc7445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7DED4BB2">
          <w:pPr>
            <w:pStyle w:val="253"/>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_Toc339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z w:val="21"/>
              <w:szCs w:val="21"/>
              <w:lang w:val="en-US" w:eastAsia="zh-CN"/>
            </w:rPr>
            <w:t>5.2危化品库存申购领用盘存管理</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_Toc339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3D4948AC">
          <w:pPr>
            <w:pStyle w:val="253"/>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napToGrid w:val="0"/>
              <w:color w:val="000000"/>
              <w:spacing w:val="17"/>
              <w:kern w:val="0"/>
              <w:sz w:val="21"/>
              <w:szCs w:val="21"/>
              <w:lang w:val="en-US" w:eastAsia="zh-CN"/>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_Toc4030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z w:val="21"/>
              <w:szCs w:val="21"/>
              <w:lang w:val="en-US" w:eastAsia="zh-CN"/>
            </w:rPr>
            <w:t>5.3关键试剂耗材申购领用盘存管理</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_Toc4030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2135B1FA">
          <w:pPr>
            <w:pStyle w:val="253"/>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napToGrid w:val="0"/>
              <w:color w:val="000000"/>
              <w:spacing w:val="17"/>
              <w:kern w:val="0"/>
              <w:sz w:val="21"/>
              <w:szCs w:val="21"/>
              <w:lang w:val="en-US" w:eastAsia="zh-CN"/>
            </w:rPr>
          </w:pPr>
          <w:r>
            <w:rPr>
              <w:rFonts w:hint="eastAsia" w:ascii="宋体" w:hAnsi="宋体" w:cs="宋体"/>
              <w:b w:val="0"/>
              <w:bCs/>
              <w:snapToGrid w:val="0"/>
              <w:color w:val="000000"/>
              <w:spacing w:val="17"/>
              <w:kern w:val="0"/>
              <w:sz w:val="21"/>
              <w:szCs w:val="21"/>
              <w:lang w:val="en-US" w:eastAsia="zh-CN"/>
            </w:rPr>
            <w:t>5.4</w:t>
          </w:r>
          <w:r>
            <w:rPr>
              <w:rFonts w:hint="eastAsia" w:ascii="宋体" w:hAnsi="宋体" w:eastAsia="宋体" w:cs="宋体"/>
              <w:b w:val="0"/>
              <w:bCs/>
              <w:sz w:val="21"/>
              <w:szCs w:val="21"/>
              <w:lang w:val="en-US" w:eastAsia="zh-CN"/>
            </w:rPr>
            <w:t>化学消耗品台账</w:t>
          </w:r>
          <w:r>
            <w:rPr>
              <w:rFonts w:hint="eastAsia" w:ascii="宋体" w:hAnsi="宋体" w:cs="宋体"/>
              <w:b w:val="0"/>
              <w:bCs/>
              <w:sz w:val="21"/>
              <w:szCs w:val="21"/>
              <w:lang w:val="en-US" w:eastAsia="zh-CN"/>
            </w:rPr>
            <w:t>文件</w:t>
          </w:r>
          <w:r>
            <w:rPr>
              <w:rFonts w:hint="eastAsia" w:ascii="宋体" w:hAnsi="宋体" w:eastAsia="宋体" w:cs="宋体"/>
              <w:b w:val="0"/>
              <w:bCs/>
              <w:sz w:val="21"/>
              <w:szCs w:val="21"/>
              <w:lang w:val="en-US" w:eastAsia="zh-CN"/>
            </w:rPr>
            <w:t>管理</w:t>
          </w:r>
          <w:r>
            <w:rPr>
              <w:rFonts w:hint="eastAsia" w:ascii="宋体" w:hAnsi="宋体" w:eastAsia="宋体" w:cs="宋体"/>
              <w:b w:val="0"/>
              <w:bCs/>
              <w:sz w:val="21"/>
              <w:szCs w:val="21"/>
            </w:rPr>
            <w:tab/>
          </w:r>
          <w:r>
            <w:rPr>
              <w:rFonts w:hint="eastAsia" w:ascii="宋体" w:hAnsi="宋体" w:cs="宋体"/>
              <w:b w:val="0"/>
              <w:bCs/>
              <w:sz w:val="21"/>
              <w:szCs w:val="21"/>
              <w:lang w:val="en-US" w:eastAsia="zh-CN"/>
            </w:rPr>
            <w:t>3</w:t>
          </w:r>
        </w:p>
        <w:p w14:paraId="51929210">
          <w:pPr>
            <w:pStyle w:val="252"/>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_Toc11856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napToGrid w:val="0"/>
              <w:spacing w:val="-3"/>
              <w:kern w:val="0"/>
              <w:position w:val="7"/>
              <w:sz w:val="21"/>
              <w:szCs w:val="21"/>
            </w:rPr>
            <w:t>附</w:t>
          </w:r>
          <w:r>
            <w:rPr>
              <w:rFonts w:hint="eastAsia" w:ascii="宋体" w:hAnsi="宋体" w:eastAsia="宋体" w:cs="宋体"/>
              <w:b w:val="0"/>
              <w:bCs/>
              <w:snapToGrid w:val="0"/>
              <w:spacing w:val="-2"/>
              <w:kern w:val="0"/>
              <w:position w:val="7"/>
              <w:sz w:val="21"/>
              <w:szCs w:val="21"/>
            </w:rPr>
            <w:t xml:space="preserve">  录  A</w:t>
          </w:r>
          <w:r>
            <w:rPr>
              <w:rFonts w:hint="eastAsia" w:ascii="宋体" w:hAnsi="宋体" w:eastAsia="宋体" w:cs="宋体"/>
              <w:b w:val="0"/>
              <w:bCs/>
              <w:snapToGrid w:val="0"/>
              <w:spacing w:val="-2"/>
              <w:kern w:val="0"/>
              <w:position w:val="7"/>
              <w:sz w:val="21"/>
              <w:szCs w:val="21"/>
              <w:lang w:eastAsia="zh-CN"/>
            </w:rPr>
            <w:t>（</w:t>
          </w:r>
          <w:r>
            <w:rPr>
              <w:rFonts w:hint="eastAsia" w:ascii="宋体" w:hAnsi="宋体" w:eastAsia="宋体" w:cs="宋体"/>
              <w:b w:val="0"/>
              <w:bCs/>
              <w:snapToGrid w:val="0"/>
              <w:spacing w:val="-2"/>
              <w:kern w:val="0"/>
              <w:position w:val="7"/>
              <w:sz w:val="21"/>
              <w:szCs w:val="21"/>
              <w:lang w:val="en-US" w:eastAsia="zh-CN"/>
            </w:rPr>
            <w:t>资料性附录</w:t>
          </w:r>
          <w:r>
            <w:rPr>
              <w:rFonts w:hint="eastAsia" w:ascii="宋体" w:hAnsi="宋体" w:eastAsia="宋体" w:cs="宋体"/>
              <w:b w:val="0"/>
              <w:bCs/>
              <w:snapToGrid w:val="0"/>
              <w:spacing w:val="-2"/>
              <w:kern w:val="0"/>
              <w:position w:val="7"/>
              <w:sz w:val="21"/>
              <w:szCs w:val="21"/>
              <w:lang w:eastAsia="zh-CN"/>
            </w:rPr>
            <w:t>）</w:t>
          </w:r>
          <w:r>
            <w:rPr>
              <w:rFonts w:hint="eastAsia" w:ascii="宋体" w:hAnsi="宋体" w:eastAsia="宋体" w:cs="宋体"/>
              <w:b w:val="0"/>
              <w:bCs/>
              <w:snapToGrid w:val="0"/>
              <w:spacing w:val="-2"/>
              <w:kern w:val="0"/>
              <w:position w:val="7"/>
              <w:sz w:val="21"/>
              <w:szCs w:val="21"/>
              <w:lang w:val="en-US" w:eastAsia="zh-CN"/>
            </w:rPr>
            <w:t>申购验收流程记录</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_Toc11856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4EC669B4">
          <w:pPr>
            <w:pStyle w:val="252"/>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_Toc20878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napToGrid w:val="0"/>
              <w:spacing w:val="-2"/>
              <w:kern w:val="0"/>
              <w:position w:val="7"/>
              <w:sz w:val="21"/>
              <w:szCs w:val="21"/>
            </w:rPr>
            <w:t>附</w:t>
          </w:r>
          <w:r>
            <w:rPr>
              <w:rFonts w:hint="eastAsia" w:ascii="宋体" w:hAnsi="宋体" w:eastAsia="宋体" w:cs="宋体"/>
              <w:b w:val="0"/>
              <w:bCs/>
              <w:snapToGrid w:val="0"/>
              <w:spacing w:val="-1"/>
              <w:kern w:val="0"/>
              <w:position w:val="7"/>
              <w:sz w:val="21"/>
              <w:szCs w:val="21"/>
            </w:rPr>
            <w:t xml:space="preserve">  录  B</w:t>
          </w:r>
          <w:r>
            <w:rPr>
              <w:rFonts w:hint="eastAsia" w:ascii="宋体" w:hAnsi="宋体" w:eastAsia="宋体" w:cs="宋体"/>
              <w:b w:val="0"/>
              <w:bCs/>
              <w:snapToGrid w:val="0"/>
              <w:spacing w:val="-2"/>
              <w:kern w:val="0"/>
              <w:position w:val="7"/>
              <w:sz w:val="21"/>
              <w:szCs w:val="21"/>
              <w:lang w:eastAsia="zh-CN"/>
            </w:rPr>
            <w:t>（</w:t>
          </w:r>
          <w:r>
            <w:rPr>
              <w:rFonts w:hint="eastAsia" w:ascii="宋体" w:hAnsi="宋体" w:eastAsia="宋体" w:cs="宋体"/>
              <w:b w:val="0"/>
              <w:bCs/>
              <w:snapToGrid w:val="0"/>
              <w:spacing w:val="-2"/>
              <w:kern w:val="0"/>
              <w:position w:val="7"/>
              <w:sz w:val="21"/>
              <w:szCs w:val="21"/>
              <w:lang w:val="en-US" w:eastAsia="zh-CN"/>
            </w:rPr>
            <w:t>资料性附录</w:t>
          </w:r>
          <w:r>
            <w:rPr>
              <w:rFonts w:hint="eastAsia" w:ascii="宋体" w:hAnsi="宋体" w:eastAsia="宋体" w:cs="宋体"/>
              <w:b w:val="0"/>
              <w:bCs/>
              <w:snapToGrid w:val="0"/>
              <w:spacing w:val="-2"/>
              <w:kern w:val="0"/>
              <w:position w:val="7"/>
              <w:sz w:val="21"/>
              <w:szCs w:val="21"/>
              <w:lang w:eastAsia="zh-CN"/>
            </w:rPr>
            <w:t>）</w:t>
          </w:r>
          <w:r>
            <w:rPr>
              <w:rFonts w:hint="eastAsia" w:ascii="宋体" w:hAnsi="宋体" w:eastAsia="宋体" w:cs="宋体"/>
              <w:b w:val="0"/>
              <w:bCs/>
              <w:snapToGrid w:val="0"/>
              <w:spacing w:val="-2"/>
              <w:kern w:val="0"/>
              <w:position w:val="7"/>
              <w:sz w:val="21"/>
              <w:szCs w:val="21"/>
              <w:lang w:val="en-US" w:eastAsia="zh-CN"/>
            </w:rPr>
            <w:t>标准品期间核查及领用盘存记录</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_Toc20878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6FB813DD">
          <w:pPr>
            <w:pStyle w:val="252"/>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_Toc11206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napToGrid w:val="0"/>
              <w:spacing w:val="-2"/>
              <w:kern w:val="0"/>
              <w:position w:val="7"/>
              <w:sz w:val="21"/>
              <w:szCs w:val="21"/>
            </w:rPr>
            <w:t>附</w:t>
          </w:r>
          <w:r>
            <w:rPr>
              <w:rFonts w:hint="eastAsia" w:ascii="宋体" w:hAnsi="宋体" w:eastAsia="宋体" w:cs="宋体"/>
              <w:b w:val="0"/>
              <w:bCs/>
              <w:snapToGrid w:val="0"/>
              <w:spacing w:val="-1"/>
              <w:kern w:val="0"/>
              <w:position w:val="7"/>
              <w:sz w:val="21"/>
              <w:szCs w:val="21"/>
            </w:rPr>
            <w:t xml:space="preserve">  录  </w:t>
          </w:r>
          <w:r>
            <w:rPr>
              <w:rFonts w:hint="eastAsia" w:ascii="宋体" w:hAnsi="宋体" w:eastAsia="宋体" w:cs="宋体"/>
              <w:b w:val="0"/>
              <w:bCs/>
              <w:snapToGrid w:val="0"/>
              <w:spacing w:val="-1"/>
              <w:kern w:val="0"/>
              <w:position w:val="7"/>
              <w:sz w:val="21"/>
              <w:szCs w:val="21"/>
              <w:lang w:val="en-US" w:eastAsia="zh-CN"/>
            </w:rPr>
            <w:t>C</w:t>
          </w:r>
          <w:r>
            <w:rPr>
              <w:rFonts w:hint="eastAsia" w:ascii="宋体" w:hAnsi="宋体" w:eastAsia="宋体" w:cs="宋体"/>
              <w:b w:val="0"/>
              <w:bCs/>
              <w:snapToGrid w:val="0"/>
              <w:spacing w:val="-2"/>
              <w:kern w:val="0"/>
              <w:position w:val="7"/>
              <w:sz w:val="21"/>
              <w:szCs w:val="21"/>
              <w:lang w:eastAsia="zh-CN"/>
            </w:rPr>
            <w:t>（</w:t>
          </w:r>
          <w:r>
            <w:rPr>
              <w:rFonts w:hint="eastAsia" w:ascii="宋体" w:hAnsi="宋体" w:eastAsia="宋体" w:cs="宋体"/>
              <w:b w:val="0"/>
              <w:bCs/>
              <w:snapToGrid w:val="0"/>
              <w:spacing w:val="-2"/>
              <w:kern w:val="0"/>
              <w:position w:val="7"/>
              <w:sz w:val="21"/>
              <w:szCs w:val="21"/>
              <w:lang w:val="en-US" w:eastAsia="zh-CN"/>
            </w:rPr>
            <w:t>资料性附录</w:t>
          </w:r>
          <w:r>
            <w:rPr>
              <w:rFonts w:hint="eastAsia" w:ascii="宋体" w:hAnsi="宋体" w:eastAsia="宋体" w:cs="宋体"/>
              <w:b w:val="0"/>
              <w:bCs/>
              <w:snapToGrid w:val="0"/>
              <w:spacing w:val="-2"/>
              <w:kern w:val="0"/>
              <w:position w:val="7"/>
              <w:sz w:val="21"/>
              <w:szCs w:val="21"/>
              <w:lang w:eastAsia="zh-CN"/>
            </w:rPr>
            <w:t>）</w:t>
          </w:r>
          <w:r>
            <w:rPr>
              <w:rFonts w:hint="eastAsia" w:ascii="宋体" w:hAnsi="宋体" w:eastAsia="宋体" w:cs="宋体"/>
              <w:b w:val="0"/>
              <w:bCs/>
              <w:snapToGrid w:val="0"/>
              <w:spacing w:val="-2"/>
              <w:kern w:val="0"/>
              <w:position w:val="7"/>
              <w:sz w:val="21"/>
              <w:szCs w:val="21"/>
              <w:lang w:val="en-US" w:eastAsia="zh-CN"/>
            </w:rPr>
            <w:t>危化品领用盘存记录</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_Toc11206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69364C82">
          <w:pPr>
            <w:pStyle w:val="252"/>
            <w:keepNext w:val="0"/>
            <w:keepLines w:val="0"/>
            <w:pageBreakBefore w:val="0"/>
            <w:widowControl/>
            <w:tabs>
              <w:tab w:val="right" w:leader="dot" w:pos="9355"/>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napToGrid w:val="0"/>
              <w:color w:val="000000"/>
              <w:spacing w:val="17"/>
              <w:kern w:val="0"/>
              <w:sz w:val="21"/>
              <w:szCs w:val="21"/>
              <w:lang w:val="en-US" w:eastAsia="zh-CN"/>
            </w:rPr>
            <w:fldChar w:fldCharType="begin"/>
          </w:r>
          <w:r>
            <w:rPr>
              <w:rFonts w:hint="eastAsia" w:ascii="宋体" w:hAnsi="宋体" w:eastAsia="宋体" w:cs="宋体"/>
              <w:b w:val="0"/>
              <w:bCs/>
              <w:snapToGrid w:val="0"/>
              <w:spacing w:val="17"/>
              <w:kern w:val="0"/>
              <w:sz w:val="21"/>
              <w:szCs w:val="21"/>
              <w:lang w:val="en-US" w:eastAsia="zh-CN"/>
            </w:rPr>
            <w:instrText xml:space="preserve"> HYPERLINK \l _Toc24563 </w:instrText>
          </w:r>
          <w:r>
            <w:rPr>
              <w:rFonts w:hint="eastAsia" w:ascii="宋体" w:hAnsi="宋体" w:eastAsia="宋体" w:cs="宋体"/>
              <w:b w:val="0"/>
              <w:bCs/>
              <w:snapToGrid w:val="0"/>
              <w:spacing w:val="17"/>
              <w:kern w:val="0"/>
              <w:sz w:val="21"/>
              <w:szCs w:val="21"/>
              <w:lang w:val="en-US" w:eastAsia="zh-CN"/>
            </w:rPr>
            <w:fldChar w:fldCharType="separate"/>
          </w:r>
          <w:r>
            <w:rPr>
              <w:rFonts w:hint="eastAsia" w:ascii="宋体" w:hAnsi="宋体" w:eastAsia="宋体" w:cs="宋体"/>
              <w:b w:val="0"/>
              <w:bCs/>
              <w:snapToGrid w:val="0"/>
              <w:spacing w:val="-2"/>
              <w:kern w:val="0"/>
              <w:position w:val="7"/>
              <w:sz w:val="21"/>
              <w:szCs w:val="21"/>
            </w:rPr>
            <w:t>附</w:t>
          </w:r>
          <w:r>
            <w:rPr>
              <w:rFonts w:hint="eastAsia" w:ascii="宋体" w:hAnsi="宋体" w:eastAsia="宋体" w:cs="宋体"/>
              <w:b w:val="0"/>
              <w:bCs/>
              <w:snapToGrid w:val="0"/>
              <w:spacing w:val="-1"/>
              <w:kern w:val="0"/>
              <w:position w:val="7"/>
              <w:sz w:val="21"/>
              <w:szCs w:val="21"/>
            </w:rPr>
            <w:t xml:space="preserve">  录  </w:t>
          </w:r>
          <w:r>
            <w:rPr>
              <w:rFonts w:hint="eastAsia" w:ascii="宋体" w:hAnsi="宋体" w:eastAsia="宋体" w:cs="宋体"/>
              <w:b w:val="0"/>
              <w:bCs/>
              <w:snapToGrid w:val="0"/>
              <w:spacing w:val="-1"/>
              <w:kern w:val="0"/>
              <w:position w:val="7"/>
              <w:sz w:val="21"/>
              <w:szCs w:val="21"/>
              <w:lang w:val="en-US" w:eastAsia="zh-CN"/>
            </w:rPr>
            <w:t>D</w:t>
          </w:r>
          <w:r>
            <w:rPr>
              <w:rFonts w:hint="eastAsia" w:ascii="宋体" w:hAnsi="宋体" w:eastAsia="宋体" w:cs="宋体"/>
              <w:b w:val="0"/>
              <w:bCs/>
              <w:snapToGrid w:val="0"/>
              <w:spacing w:val="-2"/>
              <w:kern w:val="0"/>
              <w:position w:val="7"/>
              <w:sz w:val="21"/>
              <w:szCs w:val="21"/>
              <w:lang w:eastAsia="zh-CN"/>
            </w:rPr>
            <w:t>（</w:t>
          </w:r>
          <w:r>
            <w:rPr>
              <w:rFonts w:hint="eastAsia" w:ascii="宋体" w:hAnsi="宋体" w:eastAsia="宋体" w:cs="宋体"/>
              <w:b w:val="0"/>
              <w:bCs/>
              <w:snapToGrid w:val="0"/>
              <w:spacing w:val="-2"/>
              <w:kern w:val="0"/>
              <w:position w:val="7"/>
              <w:sz w:val="21"/>
              <w:szCs w:val="21"/>
              <w:lang w:val="en-US" w:eastAsia="zh-CN"/>
            </w:rPr>
            <w:t>资料性附录</w:t>
          </w:r>
          <w:r>
            <w:rPr>
              <w:rFonts w:hint="eastAsia" w:ascii="宋体" w:hAnsi="宋体" w:eastAsia="宋体" w:cs="宋体"/>
              <w:b w:val="0"/>
              <w:bCs/>
              <w:snapToGrid w:val="0"/>
              <w:spacing w:val="-2"/>
              <w:kern w:val="0"/>
              <w:position w:val="7"/>
              <w:sz w:val="21"/>
              <w:szCs w:val="21"/>
              <w:lang w:eastAsia="zh-CN"/>
            </w:rPr>
            <w:t>）</w:t>
          </w:r>
          <w:r>
            <w:rPr>
              <w:rFonts w:hint="eastAsia" w:ascii="宋体" w:hAnsi="宋体" w:eastAsia="宋体" w:cs="宋体"/>
              <w:b w:val="0"/>
              <w:bCs/>
              <w:snapToGrid w:val="0"/>
              <w:spacing w:val="-2"/>
              <w:kern w:val="0"/>
              <w:position w:val="7"/>
              <w:sz w:val="21"/>
              <w:szCs w:val="21"/>
              <w:lang w:val="en-US" w:eastAsia="zh-CN"/>
            </w:rPr>
            <w:t>关键试剂耗材验收领用盘存记录</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_Toc24563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napToGrid w:val="0"/>
              <w:color w:val="000000"/>
              <w:spacing w:val="17"/>
              <w:kern w:val="0"/>
              <w:sz w:val="21"/>
              <w:szCs w:val="21"/>
              <w:lang w:val="en-US" w:eastAsia="zh-CN"/>
            </w:rPr>
            <w:fldChar w:fldCharType="end"/>
          </w:r>
        </w:p>
        <w:p w14:paraId="4A1CDF1E">
          <w:pPr>
            <w:pStyle w:val="252"/>
            <w:tabs>
              <w:tab w:val="right" w:leader="dot" w:pos="9355"/>
            </w:tabs>
            <w:rPr>
              <w:rFonts w:hint="default" w:ascii="宋体" w:hAnsi="宋体" w:eastAsia="宋体" w:cs="宋体"/>
              <w:b/>
              <w:snapToGrid w:val="0"/>
              <w:color w:val="000000"/>
              <w:spacing w:val="17"/>
              <w:kern w:val="0"/>
              <w:sz w:val="20"/>
              <w:szCs w:val="21"/>
              <w:lang w:val="en-US" w:eastAsia="zh-CN"/>
            </w:rPr>
          </w:pPr>
          <w:r>
            <w:rPr>
              <w:rFonts w:hint="default" w:ascii="宋体" w:hAnsi="宋体" w:eastAsia="宋体" w:cs="宋体"/>
              <w:b/>
              <w:snapToGrid w:val="0"/>
              <w:color w:val="000000"/>
              <w:spacing w:val="17"/>
              <w:kern w:val="0"/>
              <w:szCs w:val="21"/>
              <w:lang w:val="en-US" w:eastAsia="zh-CN"/>
            </w:rPr>
            <w:fldChar w:fldCharType="end"/>
          </w:r>
        </w:p>
      </w:sdtContent>
    </w:sdt>
    <w:p w14:paraId="4EF33EC2">
      <w:pPr>
        <w:pStyle w:val="252"/>
        <w:tabs>
          <w:tab w:val="right" w:leader="dot" w:pos="9355"/>
        </w:tabs>
        <w:rPr>
          <w:rFonts w:hint="default" w:ascii="宋体" w:hAnsi="宋体" w:eastAsia="宋体" w:cs="宋体"/>
          <w:b/>
          <w:snapToGrid w:val="0"/>
          <w:color w:val="000000"/>
          <w:spacing w:val="17"/>
          <w:kern w:val="0"/>
          <w:sz w:val="20"/>
          <w:szCs w:val="21"/>
          <w:lang w:val="en-US" w:eastAsia="zh-CN"/>
        </w:rPr>
      </w:pPr>
    </w:p>
    <w:p w14:paraId="711BC6EA">
      <w:pPr>
        <w:pStyle w:val="252"/>
        <w:tabs>
          <w:tab w:val="right" w:leader="dot" w:pos="9355"/>
        </w:tabs>
        <w:rPr>
          <w:rFonts w:hint="default" w:ascii="宋体" w:hAnsi="宋体" w:eastAsia="宋体" w:cs="宋体"/>
          <w:snapToGrid w:val="0"/>
          <w:color w:val="000000"/>
          <w:spacing w:val="17"/>
          <w:kern w:val="0"/>
          <w:szCs w:val="21"/>
          <w:lang w:val="en-US" w:eastAsia="zh-CN"/>
        </w:rPr>
      </w:pPr>
      <w:r>
        <w:rPr>
          <w:rFonts w:hint="default" w:ascii="宋体" w:hAnsi="宋体" w:eastAsia="宋体" w:cs="宋体"/>
          <w:snapToGrid w:val="0"/>
          <w:color w:val="000000"/>
          <w:spacing w:val="17"/>
          <w:kern w:val="0"/>
          <w:szCs w:val="21"/>
          <w:lang w:val="en-US" w:eastAsia="zh-CN"/>
        </w:rPr>
        <w:fldChar w:fldCharType="end"/>
      </w:r>
    </w:p>
    <w:p w14:paraId="0D7E1D51">
      <w:pPr>
        <w:keepNext w:val="0"/>
        <w:keepLines w:val="0"/>
        <w:pageBreakBefore w:val="0"/>
        <w:widowControl/>
        <w:tabs>
          <w:tab w:val="left" w:leader="middleDot" w:pos="0"/>
        </w:tabs>
        <w:kinsoku w:val="0"/>
        <w:wordWrap/>
        <w:overflowPunct/>
        <w:topLinePunct w:val="0"/>
        <w:autoSpaceDE w:val="0"/>
        <w:autoSpaceDN w:val="0"/>
        <w:bidi w:val="0"/>
        <w:adjustRightInd w:val="0"/>
        <w:snapToGrid w:val="0"/>
        <w:spacing w:line="460" w:lineRule="auto"/>
        <w:jc w:val="both"/>
        <w:textAlignment w:val="baseline"/>
        <w:rPr>
          <w:rFonts w:hint="default" w:ascii="宋体" w:hAnsi="宋体" w:eastAsia="宋体" w:cs="宋体"/>
          <w:snapToGrid w:val="0"/>
          <w:color w:val="000000"/>
          <w:spacing w:val="17"/>
          <w:kern w:val="0"/>
          <w:szCs w:val="21"/>
          <w:lang w:val="en-US" w:eastAsia="zh-CN"/>
        </w:rPr>
      </w:pPr>
    </w:p>
    <w:p w14:paraId="08462F65">
      <w:pPr>
        <w:pStyle w:val="148"/>
        <w:rPr>
          <w:rStyle w:val="39"/>
          <w:rFonts w:hint="eastAsia" w:eastAsia="宋体"/>
          <w:lang w:val="en-US" w:eastAsia="zh-CN"/>
        </w:rPr>
      </w:pPr>
    </w:p>
    <w:p w14:paraId="11A0AAF9">
      <w:pPr>
        <w:pStyle w:val="148"/>
        <w:rPr>
          <w:rStyle w:val="39"/>
          <w:rFonts w:hint="eastAsia" w:eastAsia="宋体"/>
          <w:lang w:val="en-US" w:eastAsia="zh-CN"/>
        </w:rPr>
      </w:pPr>
    </w:p>
    <w:p w14:paraId="2020607A">
      <w:pPr>
        <w:pStyle w:val="148"/>
        <w:rPr>
          <w:rStyle w:val="39"/>
          <w:rFonts w:hint="default" w:eastAsia="宋体"/>
          <w:lang w:val="en-US" w:eastAsia="zh-CN"/>
        </w:rPr>
        <w:sectPr>
          <w:headerReference r:id="rId11" w:type="default"/>
          <w:footerReference r:id="rId13" w:type="default"/>
          <w:headerReference r:id="rId12" w:type="even"/>
          <w:footerReference r:id="rId14" w:type="even"/>
          <w:pgSz w:w="11907" w:h="16839"/>
          <w:pgMar w:top="1418" w:right="1134" w:bottom="1134" w:left="1418" w:header="1418" w:footer="851" w:gutter="0"/>
          <w:pgNumType w:fmt="upperRoman" w:start="1"/>
          <w:cols w:space="720" w:num="1"/>
          <w:docGrid w:type="lines" w:linePitch="312" w:charSpace="0"/>
        </w:sectPr>
      </w:pPr>
    </w:p>
    <w:p w14:paraId="4CF48873">
      <w:pPr>
        <w:pStyle w:val="254"/>
        <w:keepNext w:val="0"/>
        <w:keepLines w:val="0"/>
        <w:pageBreakBefore w:val="0"/>
        <w:widowControl/>
        <w:kinsoku/>
        <w:wordWrap/>
        <w:overflowPunct/>
        <w:topLinePunct w:val="0"/>
        <w:autoSpaceDE/>
        <w:autoSpaceDN/>
        <w:bidi w:val="0"/>
        <w:adjustRightInd/>
        <w:snapToGrid/>
        <w:textAlignment w:val="auto"/>
        <w:rPr>
          <w:rFonts w:hint="eastAsia"/>
        </w:rPr>
      </w:pPr>
      <w:bookmarkStart w:id="16" w:name="_Toc1918"/>
      <w:bookmarkStart w:id="17" w:name="_Toc9022"/>
      <w:bookmarkStart w:id="18" w:name="_Toc13057522"/>
      <w:bookmarkStart w:id="19" w:name="_Toc24930"/>
      <w:bookmarkStart w:id="20" w:name="_Toc99575955"/>
      <w:bookmarkStart w:id="21" w:name="SectionMark2"/>
      <w:r>
        <w:rPr>
          <w:rFonts w:hint="eastAsia"/>
        </w:rPr>
        <w:t>前    言</w:t>
      </w:r>
      <w:bookmarkEnd w:id="16"/>
      <w:bookmarkEnd w:id="17"/>
      <w:bookmarkEnd w:id="18"/>
      <w:bookmarkEnd w:id="19"/>
      <w:bookmarkEnd w:id="20"/>
    </w:p>
    <w:p w14:paraId="705A4204">
      <w:pPr>
        <w:keepNext w:val="0"/>
        <w:keepLines w:val="0"/>
        <w:pageBreakBefore w:val="0"/>
        <w:kinsoku/>
        <w:wordWrap/>
        <w:overflowPunct/>
        <w:topLinePunct w:val="0"/>
        <w:bidi w:val="0"/>
        <w:snapToGrid/>
        <w:spacing w:line="240" w:lineRule="auto"/>
        <w:ind w:firstLine="420" w:firstLineChars="200"/>
        <w:textAlignment w:val="auto"/>
        <w:rPr>
          <w:rFonts w:hint="eastAsia"/>
        </w:rPr>
      </w:pPr>
      <w:r>
        <w:rPr>
          <w:rFonts w:hint="eastAsia"/>
        </w:rPr>
        <w:t>本标准按</w:t>
      </w:r>
      <w:r>
        <w:rPr>
          <w:rFonts w:hint="default" w:ascii="Times New Roman" w:hAnsi="Times New Roman" w:cs="Times New Roman"/>
        </w:rPr>
        <w:t>GB/T1.1-20</w:t>
      </w:r>
      <w:r>
        <w:rPr>
          <w:rFonts w:hint="default" w:ascii="Times New Roman" w:hAnsi="Times New Roman" w:cs="Times New Roman"/>
          <w:lang w:val="en-US" w:eastAsia="zh-CN"/>
        </w:rPr>
        <w:t>2</w:t>
      </w:r>
      <w:r>
        <w:rPr>
          <w:rFonts w:hint="default" w:ascii="Times New Roman" w:hAnsi="Times New Roman" w:cs="Times New Roman"/>
        </w:rPr>
        <w:t>0</w:t>
      </w:r>
      <w:r>
        <w:rPr>
          <w:rFonts w:hint="eastAsia"/>
        </w:rPr>
        <w:t xml:space="preserve">《标准化工作导则  第1部分：标准的结构和编写规则》进行编写。 </w:t>
      </w:r>
    </w:p>
    <w:p w14:paraId="7F8B15EF">
      <w:pPr>
        <w:pStyle w:val="6"/>
        <w:keepNext w:val="0"/>
        <w:keepLines w:val="0"/>
        <w:pageBreakBefore w:val="0"/>
        <w:kinsoku/>
        <w:wordWrap/>
        <w:overflowPunct/>
        <w:topLinePunct w:val="0"/>
        <w:bidi w:val="0"/>
        <w:snapToGrid/>
        <w:spacing w:line="240" w:lineRule="auto"/>
        <w:ind w:firstLine="420"/>
        <w:textAlignment w:val="auto"/>
        <w:rPr>
          <w:rFonts w:hint="eastAsia"/>
          <w:highlight w:val="none"/>
        </w:rPr>
      </w:pPr>
      <w:r>
        <w:rPr>
          <w:rFonts w:hint="eastAsia"/>
        </w:rPr>
        <w:t>本标准由</w:t>
      </w:r>
      <w:r>
        <w:rPr>
          <w:rFonts w:hint="eastAsia"/>
          <w:highlight w:val="none"/>
        </w:rPr>
        <w:t>湖北省市场监督管理局提出并归口。</w:t>
      </w:r>
    </w:p>
    <w:p w14:paraId="1D990568">
      <w:pPr>
        <w:pStyle w:val="6"/>
        <w:keepNext w:val="0"/>
        <w:keepLines w:val="0"/>
        <w:pageBreakBefore w:val="0"/>
        <w:kinsoku/>
        <w:wordWrap/>
        <w:overflowPunct/>
        <w:topLinePunct w:val="0"/>
        <w:bidi w:val="0"/>
        <w:snapToGrid/>
        <w:spacing w:line="240" w:lineRule="auto"/>
        <w:ind w:firstLine="420"/>
        <w:textAlignment w:val="auto"/>
        <w:rPr>
          <w:rFonts w:hint="eastAsia"/>
        </w:rPr>
      </w:pPr>
      <w:r>
        <w:rPr>
          <w:rFonts w:hint="eastAsia"/>
          <w:highlight w:val="none"/>
        </w:rPr>
        <w:t>本标准由湖北省市场监督管理局组</w:t>
      </w:r>
      <w:r>
        <w:rPr>
          <w:rFonts w:hint="eastAsia"/>
        </w:rPr>
        <w:t>织实施。</w:t>
      </w:r>
    </w:p>
    <w:p w14:paraId="562CACA3">
      <w:pPr>
        <w:pStyle w:val="6"/>
        <w:keepNext w:val="0"/>
        <w:keepLines w:val="0"/>
        <w:pageBreakBefore w:val="0"/>
        <w:kinsoku/>
        <w:wordWrap/>
        <w:overflowPunct/>
        <w:topLinePunct w:val="0"/>
        <w:bidi w:val="0"/>
        <w:snapToGrid/>
        <w:spacing w:line="240" w:lineRule="auto"/>
        <w:ind w:firstLine="420"/>
        <w:textAlignment w:val="auto"/>
        <w:rPr>
          <w:rFonts w:hint="eastAsia"/>
        </w:rPr>
      </w:pPr>
      <w:r>
        <w:rPr>
          <w:rFonts w:hint="eastAsia"/>
        </w:rPr>
        <w:t>本标准由湖北省食品质量安全监督检验研究院</w:t>
      </w:r>
      <w:r>
        <w:rPr>
          <w:rFonts w:hint="eastAsia"/>
          <w:lang w:eastAsia="zh-CN"/>
        </w:rPr>
        <w:t>、</w:t>
      </w:r>
      <w:r>
        <w:rPr>
          <w:rFonts w:hint="eastAsia" w:ascii="Times New Roman"/>
        </w:rPr>
        <w:t>湖北省市场监督管理局食品安全抽检监测处</w:t>
      </w:r>
      <w:r>
        <w:rPr>
          <w:rFonts w:hint="eastAsia" w:ascii="Times New Roman"/>
          <w:lang w:eastAsia="zh-CN"/>
        </w:rPr>
        <w:t>、</w:t>
      </w:r>
      <w:r>
        <w:rPr>
          <w:rFonts w:hint="eastAsia"/>
          <w:lang w:val="en-US" w:eastAsia="zh-CN"/>
        </w:rPr>
        <w:t>上海安谱实验科技股份有限公司、深圳逗点生物技术有限公司</w:t>
      </w:r>
      <w:r>
        <w:rPr>
          <w:rFonts w:hint="eastAsia"/>
        </w:rPr>
        <w:t>负责起草。</w:t>
      </w:r>
    </w:p>
    <w:p w14:paraId="7A78994F">
      <w:pPr>
        <w:pStyle w:val="6"/>
        <w:keepNext w:val="0"/>
        <w:keepLines w:val="0"/>
        <w:pageBreakBefore w:val="0"/>
        <w:kinsoku/>
        <w:wordWrap/>
        <w:overflowPunct/>
        <w:topLinePunct w:val="0"/>
        <w:bidi w:val="0"/>
        <w:snapToGrid/>
        <w:spacing w:line="240" w:lineRule="auto"/>
        <w:ind w:firstLine="420"/>
        <w:textAlignment w:val="auto"/>
        <w:rPr>
          <w:rFonts w:hint="default" w:eastAsia="宋体"/>
          <w:lang w:val="en-US" w:eastAsia="zh-CN"/>
        </w:rPr>
      </w:pPr>
      <w:r>
        <w:rPr>
          <w:rFonts w:hint="eastAsia"/>
        </w:rPr>
        <w:t>本标准主要起草人：</w:t>
      </w:r>
    </w:p>
    <w:p w14:paraId="4B397560">
      <w:pPr>
        <w:pStyle w:val="63"/>
        <w:keepNext w:val="0"/>
        <w:keepLines w:val="0"/>
        <w:pageBreakBefore w:val="0"/>
        <w:kinsoku/>
        <w:wordWrap/>
        <w:overflowPunct/>
        <w:topLinePunct w:val="0"/>
        <w:bidi w:val="0"/>
        <w:snapToGrid/>
        <w:spacing w:line="240" w:lineRule="auto"/>
        <w:ind w:firstLine="420"/>
        <w:textAlignment w:val="auto"/>
      </w:pPr>
      <w:r>
        <w:rPr>
          <w:rFonts w:hint="eastAsia"/>
        </w:rPr>
        <w:t>本文件实施应用中的疑问，可咨询湖北省食品质量安全监督检验研究院，联系电话：</w:t>
      </w:r>
      <w:r>
        <w:rPr>
          <w:rFonts w:hint="eastAsia"/>
          <w:lang w:val="en-US" w:eastAsia="zh-CN"/>
        </w:rPr>
        <w:t>XXX-XXXXXXX</w:t>
      </w:r>
      <w:r>
        <w:rPr>
          <w:rFonts w:hint="eastAsia"/>
        </w:rPr>
        <w:t>，邮箱：</w:t>
      </w:r>
      <w:r>
        <w:rPr>
          <w:rFonts w:hint="eastAsia"/>
          <w:lang w:val="en-US" w:eastAsia="zh-CN"/>
        </w:rPr>
        <w:t>XXXXXX</w:t>
      </w:r>
      <w:r>
        <w:t>@163.com</w:t>
      </w:r>
      <w:r>
        <w:rPr>
          <w:rFonts w:hint="eastAsia"/>
        </w:rPr>
        <w:t>；对本文件的有关修改意见和建议请反馈至</w:t>
      </w:r>
      <w:r>
        <w:t>湖北省食品质量安全监督检验研究院</w:t>
      </w:r>
      <w:r>
        <w:rPr>
          <w:rFonts w:hint="eastAsia"/>
        </w:rPr>
        <w:t>，联系电话：</w:t>
      </w:r>
      <w:r>
        <w:rPr>
          <w:rFonts w:hint="eastAsia"/>
          <w:lang w:val="en-US" w:eastAsia="zh-CN"/>
        </w:rPr>
        <w:t>XXXXXXX</w:t>
      </w:r>
      <w:r>
        <w:rPr>
          <w:rFonts w:hint="eastAsia"/>
        </w:rPr>
        <w:t>，邮箱：</w:t>
      </w:r>
      <w:r>
        <w:rPr>
          <w:rFonts w:hint="eastAsia"/>
          <w:lang w:val="en-US" w:eastAsia="zh-CN"/>
        </w:rPr>
        <w:t>XXXXXX</w:t>
      </w:r>
      <w:r>
        <w:t>@163.com</w:t>
      </w:r>
      <w:r>
        <w:rPr>
          <w:rFonts w:hint="eastAsia"/>
        </w:rPr>
        <w:t>。</w:t>
      </w:r>
    </w:p>
    <w:p w14:paraId="4251E83A">
      <w:pPr>
        <w:pStyle w:val="6"/>
        <w:keepNext w:val="0"/>
        <w:keepLines w:val="0"/>
        <w:pageBreakBefore w:val="0"/>
        <w:kinsoku/>
        <w:wordWrap/>
        <w:overflowPunct/>
        <w:topLinePunct w:val="0"/>
        <w:bidi w:val="0"/>
        <w:snapToGrid/>
        <w:spacing w:line="240" w:lineRule="auto"/>
        <w:textAlignment w:val="auto"/>
        <w:rPr>
          <w:rFonts w:hint="default" w:eastAsia="宋体"/>
          <w:lang w:val="en-US" w:eastAsia="zh-CN"/>
        </w:rPr>
        <w:sectPr>
          <w:footerReference r:id="rId15" w:type="default"/>
          <w:footerReference r:id="rId16" w:type="even"/>
          <w:pgSz w:w="11907" w:h="16839"/>
          <w:pgMar w:top="1418" w:right="1134" w:bottom="1134" w:left="1418" w:header="1418" w:footer="851" w:gutter="0"/>
          <w:pgNumType w:fmt="upperRoman"/>
          <w:cols w:space="720" w:num="1"/>
          <w:docGrid w:type="lines" w:linePitch="312" w:charSpace="0"/>
        </w:sectPr>
      </w:pPr>
    </w:p>
    <w:bookmarkEnd w:id="21"/>
    <w:p w14:paraId="7990EDA5">
      <w:pPr>
        <w:pStyle w:val="255"/>
        <w:rPr>
          <w:rFonts w:hint="eastAsia"/>
        </w:rPr>
      </w:pPr>
      <w:bookmarkStart w:id="22" w:name="_Toc12945"/>
      <w:bookmarkStart w:id="23" w:name="_Toc5390"/>
      <w:bookmarkStart w:id="24" w:name="_Toc4860"/>
      <w:bookmarkStart w:id="25" w:name="_Toc9448"/>
      <w:bookmarkStart w:id="26" w:name="SectionMark4"/>
      <w:r>
        <w:rPr>
          <w:rFonts w:hint="eastAsia"/>
          <w:highlight w:val="none"/>
          <w:lang w:val="en-US" w:eastAsia="zh-CN"/>
        </w:rPr>
        <w:t>检验检测机构化学消耗品</w:t>
      </w:r>
      <w:r>
        <w:rPr>
          <w:rFonts w:hint="eastAsia"/>
          <w:lang w:val="en-US" w:eastAsia="zh-CN"/>
        </w:rPr>
        <w:t>管理通用指南</w:t>
      </w:r>
      <w:bookmarkEnd w:id="22"/>
      <w:bookmarkEnd w:id="23"/>
      <w:bookmarkEnd w:id="24"/>
      <w:bookmarkEnd w:id="25"/>
    </w:p>
    <w:p w14:paraId="02A4E352">
      <w:pPr>
        <w:pStyle w:val="4"/>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left="0"/>
        <w:textAlignment w:val="auto"/>
        <w:rPr>
          <w:rFonts w:hint="eastAsia"/>
        </w:rPr>
      </w:pPr>
      <w:bookmarkStart w:id="27" w:name="_Toc31522"/>
      <w:bookmarkStart w:id="28" w:name="_Toc29558"/>
      <w:bookmarkStart w:id="29" w:name="_Toc31899"/>
      <w:bookmarkStart w:id="30" w:name="_Toc99575957"/>
      <w:r>
        <w:rPr>
          <w:rFonts w:hint="eastAsia"/>
        </w:rPr>
        <w:t>范围</w:t>
      </w:r>
      <w:bookmarkEnd w:id="27"/>
      <w:bookmarkEnd w:id="28"/>
      <w:bookmarkEnd w:id="29"/>
      <w:bookmarkEnd w:id="30"/>
      <w:r>
        <w:rPr>
          <w:rFonts w:hint="eastAsia"/>
        </w:rPr>
        <w:t xml:space="preserve">       </w:t>
      </w:r>
    </w:p>
    <w:p w14:paraId="1DBC71CC">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rPr>
      </w:pPr>
      <w:bookmarkStart w:id="31" w:name="_Toc99575958"/>
      <w:bookmarkStart w:id="32" w:name="_Toc13057525"/>
      <w:bookmarkStart w:id="33" w:name="_Toc116984225"/>
      <w:r>
        <w:rPr>
          <w:rFonts w:hint="eastAsia" w:ascii="宋体" w:hAnsi="宋体"/>
        </w:rPr>
        <w:t>本标准规定了</w:t>
      </w:r>
      <w:r>
        <w:rPr>
          <w:rFonts w:hint="eastAsia" w:ascii="宋体" w:hAnsi="宋体"/>
          <w:lang w:val="en-US" w:eastAsia="zh-CN"/>
        </w:rPr>
        <w:t>检验检测机构化学消耗品管理通用指南</w:t>
      </w:r>
      <w:r>
        <w:rPr>
          <w:rFonts w:hint="eastAsia" w:ascii="宋体" w:hAnsi="宋体"/>
        </w:rPr>
        <w:t>的</w:t>
      </w:r>
      <w:r>
        <w:rPr>
          <w:rFonts w:hint="eastAsia" w:ascii="宋体" w:hAnsi="宋体"/>
          <w:lang w:val="en-US" w:eastAsia="zh-CN"/>
        </w:rPr>
        <w:t>术语与定义、基本要求、工作要求、检查管理规范、</w:t>
      </w:r>
      <w:r>
        <w:rPr>
          <w:rFonts w:hint="eastAsia"/>
          <w:lang w:val="en-US" w:eastAsia="zh-CN"/>
        </w:rPr>
        <w:t>检查结果公示及整改落实</w:t>
      </w:r>
      <w:r>
        <w:rPr>
          <w:rFonts w:hint="eastAsia" w:ascii="宋体" w:hAnsi="宋体"/>
        </w:rPr>
        <w:t>等内容。</w:t>
      </w:r>
    </w:p>
    <w:p w14:paraId="4BC4EA3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宋体" w:hAnsi="宋体"/>
        </w:rPr>
      </w:pPr>
      <w:r>
        <w:rPr>
          <w:rFonts w:hint="eastAsia" w:ascii="宋体" w:hAnsi="宋体"/>
        </w:rPr>
        <w:t>本标准适用于</w:t>
      </w:r>
      <w:r>
        <w:rPr>
          <w:rFonts w:hint="eastAsia" w:ascii="宋体" w:hAnsi="宋体"/>
          <w:lang w:val="en-US" w:eastAsia="zh-CN"/>
        </w:rPr>
        <w:t>检验检测机构标准品、危化品、关键性试剂耗材三类化学消耗品从</w:t>
      </w:r>
      <w:r>
        <w:rPr>
          <w:rFonts w:hint="eastAsia"/>
          <w:lang w:val="en-US" w:eastAsia="zh-CN"/>
        </w:rPr>
        <w:t>申购、验收、入库盘存</w:t>
      </w:r>
      <w:r>
        <w:rPr>
          <w:rFonts w:hint="eastAsia" w:ascii="宋体" w:hAnsi="宋体"/>
          <w:lang w:val="en-US" w:eastAsia="zh-CN"/>
        </w:rPr>
        <w:t>的全过程库存管理，包含库存流程管理以及台账数据管理。</w:t>
      </w:r>
    </w:p>
    <w:p w14:paraId="5B18E87B">
      <w:pPr>
        <w:pStyle w:val="4"/>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left="0"/>
        <w:textAlignment w:val="auto"/>
        <w:rPr>
          <w:rFonts w:hint="eastAsia"/>
        </w:rPr>
      </w:pPr>
      <w:bookmarkStart w:id="34" w:name="_Toc12933"/>
      <w:bookmarkStart w:id="35" w:name="_Toc10023"/>
      <w:bookmarkStart w:id="36" w:name="_Toc32490"/>
      <w:r>
        <w:rPr>
          <w:rFonts w:hint="eastAsia"/>
        </w:rPr>
        <w:t>规范性引用文件</w:t>
      </w:r>
      <w:bookmarkEnd w:id="31"/>
      <w:bookmarkEnd w:id="34"/>
      <w:bookmarkEnd w:id="35"/>
      <w:bookmarkEnd w:id="36"/>
    </w:p>
    <w:p w14:paraId="284185FA">
      <w:pPr>
        <w:pStyle w:val="6"/>
        <w:keepNext w:val="0"/>
        <w:keepLines w:val="0"/>
        <w:pageBreakBefore w:val="0"/>
        <w:widowControl/>
        <w:kinsoku/>
        <w:wordWrap/>
        <w:overflowPunct/>
        <w:topLinePunct w:val="0"/>
        <w:autoSpaceDE w:val="0"/>
        <w:autoSpaceDN w:val="0"/>
        <w:bidi w:val="0"/>
        <w:adjustRightInd/>
        <w:snapToGrid/>
        <w:ind w:firstLine="420"/>
        <w:textAlignment w:val="auto"/>
        <w:rPr>
          <w:rFonts w:hint="eastAsia" w:ascii="Times New Roman" w:hAnsi="Times New Roman" w:eastAsia="宋体" w:cs="Times New Roman"/>
          <w:szCs w:val="21"/>
        </w:rPr>
      </w:pPr>
      <w:r>
        <w:rPr>
          <w:rFonts w:hint="eastAsia"/>
        </w:rPr>
        <w:t>下列文件中的内容通过文中的规范性引用而构成本文件必不可少的条款。其中，注日期的引用文件，仅</w:t>
      </w:r>
      <w:r>
        <w:rPr>
          <w:rFonts w:hint="eastAsia" w:ascii="Times New Roman" w:hAnsi="Times New Roman" w:eastAsia="宋体" w:cs="Times New Roman"/>
          <w:szCs w:val="21"/>
        </w:rPr>
        <w:t>该日期对应的版本适用于本文件。不注日期的引用文件，其最新版本（包括所有的修改单）适用于本文件。</w:t>
      </w:r>
    </w:p>
    <w:p w14:paraId="30958EBF">
      <w:pPr>
        <w:pStyle w:val="6"/>
        <w:keepNext w:val="0"/>
        <w:keepLines w:val="0"/>
        <w:pageBreakBefore w:val="0"/>
        <w:widowControl/>
        <w:kinsoku/>
        <w:wordWrap/>
        <w:overflowPunct/>
        <w:topLinePunct w:val="0"/>
        <w:autoSpaceDE w:val="0"/>
        <w:autoSpaceDN w:val="0"/>
        <w:bidi w:val="0"/>
        <w:adjustRightInd/>
        <w:snapToGrid/>
        <w:ind w:firstLine="42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 15258</w:t>
      </w:r>
      <w:r>
        <w:rPr>
          <w:rFonts w:hint="eastAsia"/>
          <w:highlight w:val="none"/>
          <w:lang w:val="en-US" w:eastAsia="zh-CN"/>
        </w:rPr>
        <w:t xml:space="preserve">    化学品安全标签编写规定</w:t>
      </w:r>
    </w:p>
    <w:p w14:paraId="06EFA564">
      <w:pPr>
        <w:pStyle w:val="6"/>
        <w:keepNext w:val="0"/>
        <w:keepLines w:val="0"/>
        <w:pageBreakBefore w:val="0"/>
        <w:widowControl/>
        <w:kinsoku/>
        <w:wordWrap/>
        <w:overflowPunct/>
        <w:topLinePunct w:val="0"/>
        <w:autoSpaceDE w:val="0"/>
        <w:autoSpaceDN w:val="0"/>
        <w:bidi w:val="0"/>
        <w:adjustRightInd/>
        <w:snapToGrid/>
        <w:ind w:firstLine="420"/>
        <w:textAlignment w:val="auto"/>
        <w:rPr>
          <w:rFonts w:hint="eastAsia"/>
          <w:highlight w:val="none"/>
          <w:lang w:val="en-US" w:eastAsia="zh-CN"/>
        </w:rPr>
      </w:pPr>
      <w:r>
        <w:rPr>
          <w:rFonts w:hint="default" w:ascii="Times New Roman" w:hAnsi="Times New Roman" w:cs="Times New Roman"/>
          <w:highlight w:val="none"/>
          <w:lang w:val="en-US" w:eastAsia="zh-CN"/>
        </w:rPr>
        <w:t xml:space="preserve">GB 15603 </w:t>
      </w:r>
      <w:r>
        <w:rPr>
          <w:rFonts w:hint="eastAsia" w:ascii="Times New Roman" w:hAnsi="Times New Roman" w:cs="Times New Roman"/>
          <w:highlight w:val="none"/>
          <w:lang w:val="en-US" w:eastAsia="zh-CN"/>
        </w:rPr>
        <w:t xml:space="preserve">  </w:t>
      </w:r>
      <w:r>
        <w:rPr>
          <w:rFonts w:hint="eastAsia"/>
          <w:highlight w:val="none"/>
          <w:lang w:val="en-US" w:eastAsia="zh-CN"/>
        </w:rPr>
        <w:t>危险化学品仓库储存通则</w:t>
      </w:r>
    </w:p>
    <w:p w14:paraId="34374598">
      <w:pPr>
        <w:pStyle w:val="6"/>
        <w:keepNext w:val="0"/>
        <w:keepLines w:val="0"/>
        <w:pageBreakBefore w:val="0"/>
        <w:widowControl/>
        <w:kinsoku/>
        <w:wordWrap/>
        <w:overflowPunct/>
        <w:topLinePunct w:val="0"/>
        <w:autoSpaceDE w:val="0"/>
        <w:autoSpaceDN w:val="0"/>
        <w:bidi w:val="0"/>
        <w:adjustRightInd/>
        <w:snapToGrid/>
        <w:ind w:firstLine="420"/>
        <w:textAlignment w:val="auto"/>
        <w:rPr>
          <w:rFonts w:hint="default"/>
          <w:highlight w:val="none"/>
          <w:lang w:val="en-US" w:eastAsia="zh-CN"/>
        </w:rPr>
      </w:pPr>
      <w:r>
        <w:rPr>
          <w:rFonts w:hint="default" w:ascii="Times New Roman" w:hAnsi="Times New Roman" w:cs="Times New Roman"/>
          <w:highlight w:val="none"/>
          <w:lang w:val="en-US" w:eastAsia="zh-CN"/>
        </w:rPr>
        <w:t>GB/T 16163</w:t>
      </w:r>
      <w:r>
        <w:rPr>
          <w:rFonts w:hint="eastAsia"/>
          <w:highlight w:val="none"/>
          <w:lang w:val="en-US" w:eastAsia="zh-CN"/>
        </w:rPr>
        <w:t xml:space="preserve"> 瓶装气体分类</w:t>
      </w:r>
    </w:p>
    <w:p w14:paraId="3310B876">
      <w:pPr>
        <w:pStyle w:val="6"/>
        <w:keepNext w:val="0"/>
        <w:keepLines w:val="0"/>
        <w:pageBreakBefore w:val="0"/>
        <w:widowControl/>
        <w:kinsoku/>
        <w:wordWrap/>
        <w:overflowPunct/>
        <w:topLinePunct w:val="0"/>
        <w:autoSpaceDE w:val="0"/>
        <w:autoSpaceDN w:val="0"/>
        <w:bidi w:val="0"/>
        <w:adjustRightInd/>
        <w:snapToGrid/>
        <w:ind w:firstLine="420"/>
        <w:textAlignment w:val="auto"/>
        <w:rPr>
          <w:rFonts w:hint="default"/>
          <w:highlight w:val="none"/>
          <w:lang w:val="en-US" w:eastAsia="zh-CN"/>
        </w:rPr>
      </w:pPr>
      <w:r>
        <w:rPr>
          <w:rFonts w:hint="default" w:ascii="Times New Roman" w:hAnsi="Times New Roman" w:cs="Times New Roman"/>
          <w:highlight w:val="none"/>
          <w:lang w:val="en-US" w:eastAsia="zh-CN"/>
        </w:rPr>
        <w:t>GB/T 16483</w:t>
      </w:r>
      <w:r>
        <w:rPr>
          <w:rFonts w:hint="eastAsia"/>
          <w:highlight w:val="none"/>
          <w:lang w:val="en-US" w:eastAsia="zh-CN"/>
        </w:rPr>
        <w:t xml:space="preserve">  化学品安全技术说明书 内容与项目顺序</w:t>
      </w:r>
    </w:p>
    <w:p w14:paraId="6A6BC793">
      <w:pPr>
        <w:pStyle w:val="6"/>
        <w:keepNext w:val="0"/>
        <w:keepLines w:val="0"/>
        <w:pageBreakBefore w:val="0"/>
        <w:widowControl/>
        <w:kinsoku/>
        <w:wordWrap/>
        <w:overflowPunct/>
        <w:topLinePunct w:val="0"/>
        <w:autoSpaceDE w:val="0"/>
        <w:autoSpaceDN w:val="0"/>
        <w:bidi w:val="0"/>
        <w:adjustRightInd/>
        <w:snapToGrid/>
        <w:ind w:firstLine="420"/>
        <w:textAlignment w:val="auto"/>
        <w:rPr>
          <w:rFonts w:hint="default"/>
          <w:highlight w:val="none"/>
          <w:lang w:val="en-US" w:eastAsia="zh-CN"/>
        </w:rPr>
      </w:pPr>
      <w:r>
        <w:rPr>
          <w:rFonts w:hint="default" w:ascii="Times New Roman" w:hAnsi="Times New Roman" w:cs="Times New Roman"/>
          <w:highlight w:val="none"/>
          <w:lang w:val="en-US" w:eastAsia="zh-CN"/>
        </w:rPr>
        <w:t>GB/T 17519</w:t>
      </w:r>
      <w:r>
        <w:rPr>
          <w:rFonts w:hint="eastAsia"/>
          <w:highlight w:val="none"/>
          <w:lang w:val="en-US" w:eastAsia="zh-CN"/>
        </w:rPr>
        <w:t xml:space="preserve">  化学品安全技术说明书编写指南</w:t>
      </w:r>
    </w:p>
    <w:p w14:paraId="20B8EA8E">
      <w:pPr>
        <w:pStyle w:val="6"/>
        <w:keepNext w:val="0"/>
        <w:keepLines w:val="0"/>
        <w:pageBreakBefore w:val="0"/>
        <w:widowControl/>
        <w:kinsoku/>
        <w:wordWrap/>
        <w:overflowPunct/>
        <w:topLinePunct w:val="0"/>
        <w:autoSpaceDE w:val="0"/>
        <w:autoSpaceDN w:val="0"/>
        <w:bidi w:val="0"/>
        <w:adjustRightInd/>
        <w:snapToGrid/>
        <w:ind w:firstLine="420"/>
        <w:textAlignment w:val="auto"/>
        <w:rPr>
          <w:rFonts w:hint="default"/>
          <w:highlight w:val="none"/>
          <w:lang w:val="en-US" w:eastAsia="zh-CN"/>
        </w:rPr>
      </w:pPr>
      <w:r>
        <w:rPr>
          <w:rFonts w:hint="default" w:ascii="Times New Roman" w:hAnsi="Times New Roman" w:cs="Times New Roman"/>
          <w:highlight w:val="none"/>
          <w:lang w:val="en-US" w:eastAsia="zh-CN"/>
        </w:rPr>
        <w:t>GB27476.1</w:t>
      </w:r>
      <w:r>
        <w:rPr>
          <w:rFonts w:hint="eastAsia"/>
          <w:highlight w:val="none"/>
          <w:lang w:val="en-US" w:eastAsia="zh-CN"/>
        </w:rPr>
        <w:t xml:space="preserve">  检测实验室安全第1部分：总则</w:t>
      </w:r>
    </w:p>
    <w:p w14:paraId="5C00DB8B">
      <w:pPr>
        <w:pStyle w:val="6"/>
        <w:keepNext w:val="0"/>
        <w:keepLines w:val="0"/>
        <w:pageBreakBefore w:val="0"/>
        <w:widowControl/>
        <w:kinsoku/>
        <w:wordWrap/>
        <w:overflowPunct/>
        <w:topLinePunct w:val="0"/>
        <w:autoSpaceDE w:val="0"/>
        <w:autoSpaceDN w:val="0"/>
        <w:bidi w:val="0"/>
        <w:adjustRightInd/>
        <w:snapToGrid/>
        <w:ind w:firstLine="420"/>
        <w:textAlignment w:val="auto"/>
        <w:rPr>
          <w:rFonts w:hint="default"/>
          <w:highlight w:val="none"/>
          <w:lang w:val="en-US" w:eastAsia="zh-CN"/>
        </w:rPr>
      </w:pPr>
      <w:r>
        <w:rPr>
          <w:rFonts w:hint="default" w:ascii="Times New Roman" w:hAnsi="Times New Roman" w:cs="Times New Roman"/>
          <w:highlight w:val="none"/>
          <w:lang w:val="en-US" w:eastAsia="zh-CN"/>
        </w:rPr>
        <w:t>GB27476.5</w:t>
      </w:r>
      <w:r>
        <w:rPr>
          <w:rFonts w:hint="eastAsia"/>
          <w:highlight w:val="none"/>
          <w:lang w:val="en-US" w:eastAsia="zh-CN"/>
        </w:rPr>
        <w:t xml:space="preserve">  检测实验室安全第5部分：化学因素</w:t>
      </w:r>
    </w:p>
    <w:p w14:paraId="3ED377B2">
      <w:pPr>
        <w:pStyle w:val="6"/>
        <w:keepNext w:val="0"/>
        <w:keepLines w:val="0"/>
        <w:pageBreakBefore w:val="0"/>
        <w:widowControl/>
        <w:kinsoku/>
        <w:wordWrap/>
        <w:overflowPunct/>
        <w:topLinePunct w:val="0"/>
        <w:autoSpaceDE w:val="0"/>
        <w:autoSpaceDN w:val="0"/>
        <w:bidi w:val="0"/>
        <w:adjustRightInd/>
        <w:snapToGrid/>
        <w:ind w:firstLine="420"/>
        <w:textAlignment w:val="auto"/>
        <w:rPr>
          <w:rFonts w:hint="default"/>
          <w:highlight w:val="none"/>
          <w:lang w:val="en-US" w:eastAsia="zh-CN"/>
        </w:rPr>
      </w:pPr>
      <w:r>
        <w:rPr>
          <w:rFonts w:hint="default" w:ascii="Times New Roman" w:hAnsi="Times New Roman" w:cs="Times New Roman"/>
          <w:highlight w:val="none"/>
          <w:lang w:val="en-US" w:eastAsia="zh-CN"/>
        </w:rPr>
        <w:t xml:space="preserve">GB 28644.1 </w:t>
      </w:r>
      <w:r>
        <w:rPr>
          <w:rFonts w:hint="eastAsia"/>
          <w:highlight w:val="none"/>
          <w:lang w:val="en-US" w:eastAsia="zh-CN"/>
        </w:rPr>
        <w:t xml:space="preserve"> 危险货物例外数量与包装要求</w:t>
      </w:r>
    </w:p>
    <w:p w14:paraId="2541D3D5">
      <w:pPr>
        <w:pStyle w:val="6"/>
        <w:keepNext w:val="0"/>
        <w:keepLines w:val="0"/>
        <w:pageBreakBefore w:val="0"/>
        <w:widowControl/>
        <w:kinsoku/>
        <w:wordWrap/>
        <w:overflowPunct/>
        <w:topLinePunct w:val="0"/>
        <w:autoSpaceDE w:val="0"/>
        <w:autoSpaceDN w:val="0"/>
        <w:bidi w:val="0"/>
        <w:adjustRightInd/>
        <w:snapToGrid/>
        <w:ind w:firstLine="42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 28644.2</w:t>
      </w:r>
      <w:r>
        <w:rPr>
          <w:rFonts w:hint="eastAsia"/>
          <w:highlight w:val="none"/>
          <w:lang w:val="en-US" w:eastAsia="zh-CN"/>
        </w:rPr>
        <w:t xml:space="preserve">  危险货物有限数量与包装要求</w:t>
      </w:r>
    </w:p>
    <w:p w14:paraId="0E636F71">
      <w:pPr>
        <w:pStyle w:val="6"/>
        <w:keepNext w:val="0"/>
        <w:keepLines w:val="0"/>
        <w:pageBreakBefore w:val="0"/>
        <w:widowControl/>
        <w:kinsoku/>
        <w:wordWrap/>
        <w:overflowPunct/>
        <w:topLinePunct w:val="0"/>
        <w:autoSpaceDE w:val="0"/>
        <w:autoSpaceDN w:val="0"/>
        <w:bidi w:val="0"/>
        <w:adjustRightInd/>
        <w:snapToGrid/>
        <w:ind w:firstLine="420"/>
        <w:textAlignment w:val="auto"/>
        <w:rPr>
          <w:rFonts w:hint="eastAsia"/>
          <w:highlight w:val="none"/>
          <w:lang w:val="en-US" w:eastAsia="zh-CN"/>
        </w:rPr>
      </w:pPr>
      <w:r>
        <w:rPr>
          <w:rFonts w:hint="default" w:ascii="Times New Roman" w:hAnsi="Times New Roman" w:cs="Times New Roman"/>
          <w:highlight w:val="none"/>
          <w:lang w:val="en-US" w:eastAsia="zh-CN"/>
        </w:rPr>
        <w:t>GB/T 29639</w:t>
      </w:r>
      <w:r>
        <w:rPr>
          <w:rFonts w:hint="eastAsia"/>
          <w:highlight w:val="none"/>
          <w:lang w:val="en-US" w:eastAsia="zh-CN"/>
        </w:rPr>
        <w:t xml:space="preserve">  生产经营单位生产安全事故应急预案编制导则</w:t>
      </w:r>
    </w:p>
    <w:p w14:paraId="2DDD38E8">
      <w:pPr>
        <w:pStyle w:val="6"/>
        <w:keepNext w:val="0"/>
        <w:keepLines w:val="0"/>
        <w:pageBreakBefore w:val="0"/>
        <w:widowControl/>
        <w:kinsoku/>
        <w:wordWrap/>
        <w:overflowPunct/>
        <w:topLinePunct w:val="0"/>
        <w:autoSpaceDE w:val="0"/>
        <w:autoSpaceDN w:val="0"/>
        <w:bidi w:val="0"/>
        <w:adjustRightInd/>
        <w:snapToGrid/>
        <w:ind w:firstLine="420"/>
        <w:textAlignment w:val="auto"/>
        <w:rPr>
          <w:rFonts w:hint="default"/>
          <w:highlight w:val="none"/>
          <w:lang w:val="en-US" w:eastAsia="zh-CN"/>
        </w:rPr>
      </w:pPr>
      <w:r>
        <w:rPr>
          <w:rFonts w:hint="default" w:ascii="Times New Roman" w:hAnsi="Times New Roman" w:cs="Times New Roman"/>
          <w:highlight w:val="none"/>
          <w:lang w:val="en-US" w:eastAsia="zh-CN"/>
        </w:rPr>
        <w:t xml:space="preserve">GB/T 31190 </w:t>
      </w:r>
      <w:r>
        <w:rPr>
          <w:rFonts w:hint="eastAsia"/>
          <w:highlight w:val="none"/>
          <w:lang w:val="en-US" w:eastAsia="zh-CN"/>
        </w:rPr>
        <w:t xml:space="preserve"> 实验室废弃化学品收集技术规范</w:t>
      </w:r>
    </w:p>
    <w:p w14:paraId="4667F630">
      <w:pPr>
        <w:pStyle w:val="6"/>
        <w:keepNext w:val="0"/>
        <w:keepLines w:val="0"/>
        <w:pageBreakBefore w:val="0"/>
        <w:widowControl/>
        <w:kinsoku/>
        <w:wordWrap/>
        <w:overflowPunct/>
        <w:topLinePunct w:val="0"/>
        <w:autoSpaceDE w:val="0"/>
        <w:autoSpaceDN w:val="0"/>
        <w:bidi w:val="0"/>
        <w:adjustRightInd/>
        <w:snapToGrid/>
        <w:ind w:firstLine="420"/>
        <w:textAlignment w:val="auto"/>
        <w:rPr>
          <w:rFonts w:hint="default"/>
          <w:highlight w:val="none"/>
          <w:lang w:val="en-US" w:eastAsia="zh-CN"/>
        </w:rPr>
      </w:pPr>
      <w:r>
        <w:rPr>
          <w:rFonts w:hint="default" w:ascii="Times New Roman" w:hAnsi="Times New Roman" w:cs="Times New Roman"/>
          <w:highlight w:val="none"/>
          <w:lang w:val="en-US" w:eastAsia="zh-CN"/>
        </w:rPr>
        <w:t>DB11/T</w:t>
      </w:r>
      <w:r>
        <w:rPr>
          <w:rFonts w:hint="eastAsia" w:ascii="Times New Roman" w:cs="Times New Roman"/>
          <w:highlight w:val="none"/>
          <w:lang w:val="en-US" w:eastAsia="zh-CN"/>
        </w:rPr>
        <w:t xml:space="preserve"> </w:t>
      </w:r>
      <w:r>
        <w:rPr>
          <w:rFonts w:hint="default" w:ascii="Times New Roman" w:hAnsi="Times New Roman" w:cs="Times New Roman"/>
          <w:highlight w:val="none"/>
          <w:lang w:val="en-US" w:eastAsia="zh-CN"/>
        </w:rPr>
        <w:t>1368</w:t>
      </w:r>
      <w:r>
        <w:rPr>
          <w:rFonts w:hint="eastAsia"/>
          <w:highlight w:val="none"/>
          <w:lang w:val="en-US" w:eastAsia="zh-CN"/>
        </w:rPr>
        <w:t xml:space="preserve"> 实验室危险废物污染防治技术规范</w:t>
      </w:r>
    </w:p>
    <w:p w14:paraId="53F4E5F1">
      <w:pPr>
        <w:pStyle w:val="6"/>
        <w:keepNext w:val="0"/>
        <w:keepLines w:val="0"/>
        <w:pageBreakBefore w:val="0"/>
        <w:widowControl/>
        <w:kinsoku/>
        <w:wordWrap/>
        <w:overflowPunct/>
        <w:topLinePunct w:val="0"/>
        <w:autoSpaceDE w:val="0"/>
        <w:autoSpaceDN w:val="0"/>
        <w:bidi w:val="0"/>
        <w:adjustRightInd/>
        <w:snapToGrid/>
        <w:ind w:firstLine="420"/>
        <w:textAlignment w:val="auto"/>
        <w:rPr>
          <w:rFonts w:hint="eastAsia"/>
          <w:highlight w:val="none"/>
          <w:lang w:val="en-US" w:eastAsia="zh-CN"/>
        </w:rPr>
      </w:pPr>
      <w:r>
        <w:rPr>
          <w:rFonts w:hint="default" w:ascii="Times New Roman" w:hAnsi="Times New Roman" w:cs="Times New Roman"/>
          <w:highlight w:val="none"/>
          <w:lang w:val="en-US" w:eastAsia="zh-CN"/>
        </w:rPr>
        <w:t>TSG R0006</w:t>
      </w:r>
      <w:r>
        <w:rPr>
          <w:rFonts w:hint="eastAsia"/>
          <w:highlight w:val="none"/>
          <w:lang w:val="en-US" w:eastAsia="zh-CN"/>
        </w:rPr>
        <w:t xml:space="preserve">  气瓶安全技术监察规程</w:t>
      </w:r>
    </w:p>
    <w:p w14:paraId="482C3EDB">
      <w:pPr>
        <w:pStyle w:val="4"/>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left="0"/>
        <w:textAlignment w:val="auto"/>
        <w:rPr>
          <w:rFonts w:hint="eastAsia"/>
        </w:rPr>
      </w:pPr>
      <w:bookmarkStart w:id="37" w:name="_Toc19240"/>
      <w:bookmarkStart w:id="38" w:name="_Toc99575959"/>
      <w:bookmarkStart w:id="39" w:name="_Toc8203"/>
      <w:bookmarkStart w:id="40" w:name="_Toc19914"/>
      <w:r>
        <w:rPr>
          <w:rFonts w:hint="eastAsia"/>
        </w:rPr>
        <w:t>术语和定义</w:t>
      </w:r>
      <w:bookmarkEnd w:id="32"/>
      <w:bookmarkEnd w:id="33"/>
      <w:bookmarkEnd w:id="37"/>
      <w:bookmarkEnd w:id="38"/>
      <w:bookmarkEnd w:id="39"/>
      <w:bookmarkEnd w:id="40"/>
    </w:p>
    <w:p w14:paraId="063032CC">
      <w:pPr>
        <w:pStyle w:val="8"/>
        <w:keepNext w:val="0"/>
        <w:keepLines w:val="0"/>
        <w:pageBreakBefore w:val="0"/>
        <w:widowControl w:val="0"/>
        <w:kinsoku/>
        <w:wordWrap/>
        <w:overflowPunct/>
        <w:topLinePunct w:val="0"/>
        <w:autoSpaceDE/>
        <w:autoSpaceDN/>
        <w:bidi w:val="0"/>
        <w:adjustRightInd w:val="0"/>
        <w:snapToGrid/>
        <w:spacing w:line="240" w:lineRule="auto"/>
        <w:ind w:firstLine="420"/>
        <w:textAlignment w:val="auto"/>
        <w:rPr>
          <w:rFonts w:hint="eastAsia"/>
          <w:sz w:val="21"/>
        </w:rPr>
      </w:pPr>
      <w:r>
        <w:rPr>
          <w:rFonts w:hint="eastAsia"/>
          <w:sz w:val="21"/>
        </w:rPr>
        <w:t>下列术语和定义适用于本标准。</w:t>
      </w:r>
    </w:p>
    <w:p w14:paraId="07314A0A">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bookmarkStart w:id="41" w:name="_Toc30577"/>
      <w:r>
        <w:rPr>
          <w:rFonts w:hint="eastAsia"/>
          <w:lang w:val="en-US" w:eastAsia="zh-CN"/>
        </w:rPr>
        <w:t>3.1化学消耗品</w:t>
      </w:r>
      <w:bookmarkEnd w:id="41"/>
      <w:r>
        <w:rPr>
          <w:rFonts w:hint="eastAsia"/>
          <w:lang w:val="en-US" w:eastAsia="zh-CN"/>
        </w:rPr>
        <w:t xml:space="preserve"> Chemical consumables</w:t>
      </w:r>
    </w:p>
    <w:p w14:paraId="066A2E4E">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宋体" w:hAnsi="宋体"/>
          <w:lang w:val="en-US" w:eastAsia="zh-CN"/>
        </w:rPr>
      </w:pPr>
      <w:r>
        <w:rPr>
          <w:rFonts w:hint="eastAsia" w:ascii="宋体" w:hAnsi="宋体"/>
          <w:lang w:val="en-US" w:eastAsia="zh-CN"/>
        </w:rPr>
        <w:t xml:space="preserve">    检验检测项目开展所需化学类标准品、危化品、关键性试剂耗材的统称。</w:t>
      </w:r>
    </w:p>
    <w:p w14:paraId="5C4ED32C">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bookmarkStart w:id="42" w:name="_Toc2941"/>
      <w:r>
        <w:rPr>
          <w:rFonts w:hint="eastAsia"/>
          <w:lang w:val="en-US" w:eastAsia="zh-CN"/>
        </w:rPr>
        <w:t>3.2库存流程管理</w:t>
      </w:r>
      <w:bookmarkEnd w:id="42"/>
      <w:r>
        <w:rPr>
          <w:rFonts w:hint="eastAsia"/>
          <w:lang w:val="en-US" w:eastAsia="zh-CN"/>
        </w:rPr>
        <w:t xml:space="preserve"> Inventory process management</w:t>
      </w:r>
    </w:p>
    <w:p w14:paraId="64C920FE">
      <w:pPr>
        <w:keepNext w:val="0"/>
        <w:keepLines w:val="0"/>
        <w:pageBreakBefore w:val="0"/>
        <w:widowControl w:val="0"/>
        <w:kinsoku/>
        <w:wordWrap/>
        <w:overflowPunct/>
        <w:topLinePunct w:val="0"/>
        <w:autoSpaceDE/>
        <w:autoSpaceDN/>
        <w:bidi w:val="0"/>
        <w:adjustRightInd w:val="0"/>
        <w:snapToGrid/>
        <w:spacing w:line="240" w:lineRule="auto"/>
        <w:ind w:firstLine="420"/>
        <w:textAlignment w:val="auto"/>
        <w:rPr>
          <w:rFonts w:hint="eastAsia"/>
          <w:lang w:val="en-US" w:eastAsia="zh-CN"/>
        </w:rPr>
      </w:pPr>
      <w:r>
        <w:rPr>
          <w:rFonts w:hint="eastAsia" w:ascii="宋体" w:hAnsi="宋体"/>
          <w:lang w:val="en-US" w:eastAsia="zh-CN"/>
        </w:rPr>
        <w:t>化学消耗品从</w:t>
      </w:r>
      <w:r>
        <w:rPr>
          <w:rFonts w:hint="eastAsia"/>
          <w:lang w:val="en-US" w:eastAsia="zh-CN"/>
        </w:rPr>
        <w:t>申购、验收、入库盘存</w:t>
      </w:r>
      <w:r>
        <w:rPr>
          <w:rFonts w:hint="eastAsia" w:ascii="宋体" w:hAnsi="宋体"/>
          <w:lang w:val="en-US" w:eastAsia="zh-CN"/>
        </w:rPr>
        <w:t>全过程流程的关键控制点管理。</w:t>
      </w:r>
      <w:bookmarkStart w:id="43" w:name="_Toc12914"/>
    </w:p>
    <w:p w14:paraId="5E0515C4">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r>
        <w:rPr>
          <w:rFonts w:hint="eastAsia"/>
          <w:lang w:val="en-US" w:eastAsia="zh-CN"/>
        </w:rPr>
        <w:t>3.3 台账数据管理</w:t>
      </w:r>
      <w:bookmarkEnd w:id="43"/>
      <w:r>
        <w:rPr>
          <w:rFonts w:hint="eastAsia"/>
          <w:lang w:val="en-US" w:eastAsia="zh-CN"/>
        </w:rPr>
        <w:t xml:space="preserve"> Ledger data management</w:t>
      </w:r>
    </w:p>
    <w:p w14:paraId="45414912">
      <w:pPr>
        <w:pStyle w:val="8"/>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Times New Roman"/>
          <w:sz w:val="21"/>
          <w:szCs w:val="21"/>
          <w:lang w:val="en-US" w:eastAsia="zh-CN"/>
        </w:rPr>
      </w:pPr>
      <w:r>
        <w:rPr>
          <w:rFonts w:hint="eastAsia" w:hAnsi="宋体" w:cs="Times New Roman"/>
          <w:sz w:val="21"/>
          <w:szCs w:val="21"/>
          <w:lang w:val="en-US" w:eastAsia="zh-CN"/>
        </w:rPr>
        <w:t>化学消耗品</w:t>
      </w:r>
      <w:r>
        <w:rPr>
          <w:rFonts w:hint="eastAsia" w:ascii="宋体" w:hAnsi="宋体" w:eastAsia="宋体" w:cs="Times New Roman"/>
          <w:sz w:val="21"/>
          <w:szCs w:val="21"/>
          <w:lang w:val="en-US" w:eastAsia="zh-CN"/>
        </w:rPr>
        <w:t>台账信息从申购、验收、入库盘存全链条数据的可追溯管理。</w:t>
      </w:r>
    </w:p>
    <w:p w14:paraId="596BEC35">
      <w:pPr>
        <w:pStyle w:val="4"/>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left="0"/>
        <w:textAlignment w:val="auto"/>
        <w:rPr>
          <w:rFonts w:hint="eastAsia"/>
        </w:rPr>
      </w:pPr>
      <w:bookmarkStart w:id="44" w:name="_Toc99575960"/>
      <w:bookmarkStart w:id="45" w:name="_Toc31454"/>
      <w:bookmarkStart w:id="46" w:name="_Toc14185"/>
      <w:bookmarkStart w:id="47" w:name="_Toc4405"/>
      <w:bookmarkStart w:id="48" w:name="_Toc116984226"/>
      <w:r>
        <w:rPr>
          <w:rFonts w:hint="eastAsia"/>
        </w:rPr>
        <w:t>基本要求</w:t>
      </w:r>
      <w:bookmarkEnd w:id="44"/>
      <w:bookmarkEnd w:id="45"/>
      <w:bookmarkEnd w:id="46"/>
      <w:bookmarkEnd w:id="47"/>
    </w:p>
    <w:p w14:paraId="3725D902">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bookmarkStart w:id="49" w:name="_Toc17210"/>
      <w:r>
        <w:rPr>
          <w:rFonts w:hint="eastAsia"/>
          <w:lang w:val="en-US" w:eastAsia="zh-CN"/>
        </w:rPr>
        <w:t>4.1检验检测机构化学消耗品管理人员要求</w:t>
      </w:r>
      <w:bookmarkEnd w:id="49"/>
    </w:p>
    <w:p w14:paraId="66CB55FB">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lang w:val="en-US" w:eastAsia="zh-CN"/>
        </w:rPr>
      </w:pPr>
      <w:bookmarkStart w:id="50" w:name="_Toc7916"/>
      <w:r>
        <w:rPr>
          <w:rFonts w:hint="default" w:ascii="Times New Roman" w:hAnsi="Times New Roman" w:cs="Times New Roman"/>
        </w:rPr>
        <w:t>4.1</w:t>
      </w:r>
      <w:r>
        <w:rPr>
          <w:rFonts w:hint="default" w:ascii="Times New Roman" w:hAnsi="Times New Roman" w:cs="Times New Roman"/>
          <w:lang w:val="en-US" w:eastAsia="zh-CN"/>
        </w:rPr>
        <w:t>.1</w:t>
      </w:r>
      <w:r>
        <w:rPr>
          <w:rFonts w:hint="eastAsia"/>
          <w:lang w:val="en-US" w:eastAsia="zh-CN"/>
        </w:rPr>
        <w:t xml:space="preserve">  管理人员宜熟悉相关法律、法规及各项管理条例，熟悉工作流程，具备相关专业知识背景或者有相关化学消耗品管理经验储备。</w:t>
      </w:r>
      <w:bookmarkEnd w:id="50"/>
      <w:bookmarkStart w:id="51" w:name="_Toc8815"/>
      <w:bookmarkStart w:id="52" w:name="_Toc9904"/>
    </w:p>
    <w:p w14:paraId="4A57C55A">
      <w:pPr>
        <w:pStyle w:val="2"/>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textAlignment w:val="auto"/>
        <w:rPr>
          <w:rFonts w:hint="default"/>
          <w:lang w:val="en-US" w:eastAsia="zh-CN"/>
        </w:rPr>
      </w:pPr>
      <w:r>
        <w:rPr>
          <w:rFonts w:hint="default" w:ascii="Times New Roman" w:hAnsi="Times New Roman" w:cs="Times New Roman"/>
          <w:lang w:val="en-US" w:eastAsia="zh-CN"/>
        </w:rPr>
        <w:t>4.1.2</w:t>
      </w:r>
      <w:r>
        <w:rPr>
          <w:rFonts w:hint="eastAsia"/>
          <w:lang w:val="en-US" w:eastAsia="zh-CN"/>
        </w:rPr>
        <w:t xml:space="preserve">  危化品使用人员需掌握相应理论知识和应急措施，管理部门应定期开展危化品管理培训，应急预案应符合</w:t>
      </w:r>
      <w:r>
        <w:rPr>
          <w:rFonts w:hint="default" w:ascii="Times New Roman" w:hAnsi="Times New Roman" w:cs="Times New Roman"/>
          <w:lang w:val="en-US" w:eastAsia="zh-CN"/>
        </w:rPr>
        <w:t>GB/T 29639</w:t>
      </w:r>
      <w:r>
        <w:rPr>
          <w:rFonts w:hint="eastAsia"/>
          <w:lang w:val="en-US" w:eastAsia="zh-CN"/>
        </w:rPr>
        <w:t>的要求。</w:t>
      </w:r>
    </w:p>
    <w:p w14:paraId="3699B516">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r>
        <w:rPr>
          <w:rFonts w:hint="eastAsia"/>
          <w:lang w:val="en-US" w:eastAsia="zh-CN"/>
        </w:rPr>
        <w:t>4.2化学消耗品库存环境管理要求</w:t>
      </w:r>
      <w:bookmarkEnd w:id="51"/>
    </w:p>
    <w:p w14:paraId="2C6E766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lang w:val="en-US" w:eastAsia="zh-CN"/>
        </w:rPr>
      </w:pPr>
      <w:r>
        <w:rPr>
          <w:rFonts w:hint="default" w:ascii="Times New Roman" w:hAnsi="Times New Roman" w:cs="Times New Roman"/>
          <w:lang w:val="en-US" w:eastAsia="zh-CN"/>
        </w:rPr>
        <w:t>4.2.1</w:t>
      </w:r>
      <w:r>
        <w:rPr>
          <w:rFonts w:hint="eastAsia"/>
          <w:lang w:val="en-US" w:eastAsia="zh-CN"/>
        </w:rPr>
        <w:t xml:space="preserve">  不同储存温度需求的化学消耗品宜根据实际情况分别储存。标准品储存冰箱建议以天为单位做好温度记录；危化品储存房间建议做好温湿度记录。</w:t>
      </w:r>
    </w:p>
    <w:p w14:paraId="68CB3126">
      <w:pPr>
        <w:keepNext w:val="0"/>
        <w:keepLines w:val="0"/>
        <w:pageBreakBefore w:val="0"/>
        <w:widowControl w:val="0"/>
        <w:tabs>
          <w:tab w:val="left" w:pos="581"/>
        </w:tabs>
        <w:kinsoku/>
        <w:wordWrap/>
        <w:overflowPunct/>
        <w:topLinePunct w:val="0"/>
        <w:autoSpaceDE/>
        <w:autoSpaceDN/>
        <w:bidi w:val="0"/>
        <w:adjustRightInd w:val="0"/>
        <w:snapToGrid/>
        <w:spacing w:line="240" w:lineRule="auto"/>
        <w:textAlignment w:val="auto"/>
        <w:rPr>
          <w:rFonts w:hint="eastAsia"/>
          <w:lang w:val="en-US" w:eastAsia="zh-CN"/>
        </w:rPr>
      </w:pPr>
      <w:r>
        <w:rPr>
          <w:rFonts w:hint="default" w:ascii="Times New Roman" w:hAnsi="Times New Roman" w:cs="Times New Roman"/>
          <w:lang w:val="en-US" w:eastAsia="zh-CN"/>
        </w:rPr>
        <w:t xml:space="preserve">4.2.2  </w:t>
      </w:r>
      <w:r>
        <w:rPr>
          <w:rFonts w:hint="eastAsia"/>
          <w:lang w:val="en-US" w:eastAsia="zh-CN"/>
        </w:rPr>
        <w:t>危化品储存环境参照</w:t>
      </w:r>
      <w:r>
        <w:rPr>
          <w:rFonts w:hint="default" w:ascii="Times New Roman" w:hAnsi="Times New Roman" w:cs="Times New Roman"/>
          <w:lang w:val="en-US" w:eastAsia="zh-CN"/>
        </w:rPr>
        <w:t>GB 15603</w:t>
      </w:r>
      <w:r>
        <w:rPr>
          <w:rFonts w:hint="eastAsia"/>
          <w:lang w:val="en-US" w:eastAsia="zh-CN"/>
        </w:rPr>
        <w:t>相关规定。危化品建议保证储存房间独立、通风、干燥，对易燃易爆易制毒等危化品分门别类、分开储存、设置相应的隔离措施并配备消防器材，保证消防通道畅通。气瓶储存参照</w:t>
      </w:r>
      <w:r>
        <w:rPr>
          <w:rFonts w:hint="default" w:ascii="Times New Roman" w:hAnsi="Times New Roman" w:cs="Times New Roman"/>
          <w:lang w:val="en-US" w:eastAsia="zh-CN"/>
        </w:rPr>
        <w:t>GB/T 16163</w:t>
      </w:r>
      <w:r>
        <w:rPr>
          <w:rFonts w:hint="eastAsia"/>
          <w:lang w:val="en-US" w:eastAsia="zh-CN"/>
        </w:rPr>
        <w:t>和</w:t>
      </w:r>
      <w:r>
        <w:rPr>
          <w:rFonts w:hint="default" w:ascii="Times New Roman" w:hAnsi="Times New Roman" w:cs="Times New Roman"/>
          <w:lang w:val="en-US" w:eastAsia="zh-CN"/>
        </w:rPr>
        <w:t>TSG R0006</w:t>
      </w:r>
      <w:r>
        <w:rPr>
          <w:rFonts w:hint="eastAsia"/>
          <w:lang w:val="en-US" w:eastAsia="zh-CN"/>
        </w:rPr>
        <w:t>相关要求，易燃气瓶两瓶之间不得小于5米，且严禁气瓶与电源接触，防止产生火花。</w:t>
      </w:r>
    </w:p>
    <w:p w14:paraId="4F2843AD">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r>
        <w:rPr>
          <w:rFonts w:hint="eastAsia"/>
          <w:lang w:val="en-US" w:eastAsia="zh-CN"/>
        </w:rPr>
        <w:t>4.3化学消耗品库存流程管理要求</w:t>
      </w:r>
      <w:bookmarkEnd w:id="52"/>
    </w:p>
    <w:p w14:paraId="41FE4178">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lang w:val="en-US" w:eastAsia="zh-CN"/>
        </w:rPr>
      </w:pPr>
      <w:r>
        <w:rPr>
          <w:rFonts w:hint="default" w:ascii="Times New Roman" w:hAnsi="Times New Roman" w:cs="Times New Roman"/>
          <w:lang w:val="en-US" w:eastAsia="zh-CN"/>
        </w:rPr>
        <w:t xml:space="preserve">4.3.1 </w:t>
      </w:r>
      <w:r>
        <w:rPr>
          <w:rFonts w:hint="eastAsia"/>
          <w:lang w:val="en-US" w:eastAsia="zh-CN"/>
        </w:rPr>
        <w:t xml:space="preserve"> 化学消耗品从申购、验收、入库盘存三方面流程管理标准品、危化品、关键试剂耗材三类不同种类的化学消耗品。</w:t>
      </w:r>
    </w:p>
    <w:p w14:paraId="7353DA89">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lang w:val="en-US" w:eastAsia="zh-CN"/>
        </w:rPr>
      </w:pPr>
      <w:r>
        <w:rPr>
          <w:rFonts w:hint="default" w:ascii="Times New Roman" w:hAnsi="Times New Roman" w:cs="Times New Roman"/>
          <w:lang w:val="en-US" w:eastAsia="zh-CN"/>
        </w:rPr>
        <w:t>4.3.2</w:t>
      </w:r>
      <w:r>
        <w:rPr>
          <w:rFonts w:hint="eastAsia"/>
          <w:lang w:val="en-US" w:eastAsia="zh-CN"/>
        </w:rPr>
        <w:t xml:space="preserve">  申购部分建议规范化学消耗品的关键信息。</w:t>
      </w:r>
    </w:p>
    <w:p w14:paraId="596924D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lang w:val="en-US" w:eastAsia="zh-CN"/>
        </w:rPr>
      </w:pPr>
      <w:r>
        <w:rPr>
          <w:rFonts w:hint="default" w:ascii="Times New Roman" w:hAnsi="Times New Roman" w:cs="Times New Roman"/>
          <w:lang w:val="en-US" w:eastAsia="zh-CN"/>
        </w:rPr>
        <w:t>4.3.3</w:t>
      </w:r>
      <w:r>
        <w:rPr>
          <w:rFonts w:hint="eastAsia"/>
          <w:lang w:val="en-US" w:eastAsia="zh-CN"/>
        </w:rPr>
        <w:t xml:space="preserve">  验收部分建议比对化学消耗品关键信息，并核实是否满足实际检验检测需求。</w:t>
      </w:r>
    </w:p>
    <w:p w14:paraId="37438181">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lang w:val="en-US" w:eastAsia="zh-CN"/>
        </w:rPr>
      </w:pPr>
      <w:r>
        <w:rPr>
          <w:rFonts w:hint="default" w:ascii="Times New Roman" w:hAnsi="Times New Roman" w:cs="Times New Roman"/>
          <w:lang w:val="en-US" w:eastAsia="zh-CN"/>
        </w:rPr>
        <w:t xml:space="preserve">4.3.4 </w:t>
      </w:r>
      <w:r>
        <w:rPr>
          <w:rFonts w:hint="eastAsia"/>
          <w:lang w:val="en-US" w:eastAsia="zh-CN"/>
        </w:rPr>
        <w:t xml:space="preserve"> 入库盘存部分建议规范现有库存消耗品信息可追溯、新进入库消耗品盘存可追溯以及破损或过期化学消耗品的处置记录。</w:t>
      </w:r>
    </w:p>
    <w:p w14:paraId="372CBC22">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bookmarkStart w:id="53" w:name="_Toc17564"/>
      <w:bookmarkStart w:id="54" w:name="_Toc29020"/>
      <w:bookmarkStart w:id="55" w:name="_Toc17599"/>
      <w:r>
        <w:rPr>
          <w:rFonts w:hint="eastAsia"/>
          <w:lang w:val="en-US" w:eastAsia="zh-CN"/>
        </w:rPr>
        <w:t>4.4化学消耗品台账</w:t>
      </w:r>
      <w:bookmarkEnd w:id="53"/>
      <w:bookmarkEnd w:id="54"/>
      <w:r>
        <w:rPr>
          <w:rFonts w:hint="eastAsia"/>
          <w:lang w:val="en-US" w:eastAsia="zh-CN"/>
        </w:rPr>
        <w:t>数据管理要求</w:t>
      </w:r>
      <w:bookmarkEnd w:id="55"/>
    </w:p>
    <w:bookmarkEnd w:id="48"/>
    <w:p w14:paraId="26F3F9CF">
      <w:pPr>
        <w:pStyle w:val="4"/>
        <w:keepNext/>
        <w:keepLines/>
        <w:pageBreakBefore w:val="0"/>
        <w:widowControl/>
        <w:numPr>
          <w:ilvl w:val="1"/>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lang w:val="en-US" w:eastAsia="zh-CN"/>
        </w:rPr>
      </w:pPr>
      <w:r>
        <w:rPr>
          <w:rFonts w:hint="default" w:ascii="Times New Roman" w:hAnsi="Times New Roman" w:cs="Times New Roman"/>
          <w:lang w:val="en-US" w:eastAsia="zh-CN"/>
        </w:rPr>
        <w:t>4.4.1</w:t>
      </w:r>
      <w:r>
        <w:rPr>
          <w:rFonts w:hint="eastAsia"/>
          <w:lang w:val="en-US" w:eastAsia="zh-CN"/>
        </w:rPr>
        <w:t xml:space="preserve"> </w:t>
      </w:r>
      <w:r>
        <w:rPr>
          <w:rFonts w:hint="eastAsia" w:ascii="宋体" w:hAnsi="宋体" w:eastAsia="宋体" w:cs="宋体"/>
          <w:lang w:val="en-US" w:eastAsia="zh-CN"/>
        </w:rPr>
        <w:t>台账遵循四方面原则：真实性原则、规范性原则、时效性原则、可溯源原则。</w:t>
      </w:r>
    </w:p>
    <w:p w14:paraId="19363622">
      <w:pPr>
        <w:pStyle w:val="4"/>
        <w:keepNext/>
        <w:keepLines/>
        <w:pageBreakBefore w:val="0"/>
        <w:widowControl/>
        <w:numPr>
          <w:ilvl w:val="1"/>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lang w:val="en-US" w:eastAsia="zh-CN"/>
        </w:rPr>
      </w:pPr>
      <w:r>
        <w:rPr>
          <w:rFonts w:hint="default" w:ascii="Times New Roman" w:hAnsi="Times New Roman" w:cs="Times New Roman"/>
          <w:lang w:val="en-US" w:eastAsia="zh-CN"/>
        </w:rPr>
        <w:t>4.4.2</w:t>
      </w:r>
      <w:r>
        <w:rPr>
          <w:rFonts w:hint="eastAsia"/>
          <w:lang w:val="en-US" w:eastAsia="zh-CN"/>
        </w:rPr>
        <w:t xml:space="preserve"> </w:t>
      </w:r>
      <w:r>
        <w:rPr>
          <w:rFonts w:hint="eastAsia" w:ascii="宋体" w:hAnsi="宋体" w:eastAsia="宋体" w:cs="宋体"/>
          <w:lang w:val="en-US" w:eastAsia="zh-CN"/>
        </w:rPr>
        <w:t>台账宜包含化学消耗品</w:t>
      </w:r>
      <w:r>
        <w:rPr>
          <w:rFonts w:hint="eastAsia" w:ascii="宋体" w:hAnsi="宋体" w:eastAsia="宋体" w:cs="宋体"/>
          <w:szCs w:val="21"/>
          <w:lang w:val="en-US" w:eastAsia="zh-CN"/>
        </w:rPr>
        <w:t>的库存流程管理全过程，包括</w:t>
      </w:r>
      <w:r>
        <w:rPr>
          <w:rFonts w:hint="eastAsia" w:ascii="宋体" w:hAnsi="宋体" w:eastAsia="宋体" w:cs="宋体"/>
          <w:lang w:val="en-US" w:eastAsia="zh-CN"/>
        </w:rPr>
        <w:t>台账数据管理及台账文件管理。</w:t>
      </w:r>
      <w:bookmarkStart w:id="56" w:name="_Toc17752"/>
    </w:p>
    <w:p w14:paraId="45BA164D">
      <w:pPr>
        <w:pStyle w:val="4"/>
        <w:keepNext/>
        <w:keepLines/>
        <w:pageBreakBefore w:val="0"/>
        <w:widowControl/>
        <w:numPr>
          <w:ilvl w:val="1"/>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rPr>
      </w:pPr>
      <w:r>
        <w:rPr>
          <w:rFonts w:hint="default" w:ascii="Times New Roman" w:hAnsi="Times New Roman" w:cs="Times New Roman"/>
          <w:lang w:val="en-US" w:eastAsia="zh-CN"/>
        </w:rPr>
        <w:t>4.4.3</w:t>
      </w:r>
      <w:r>
        <w:rPr>
          <w:rFonts w:hint="eastAsia"/>
          <w:lang w:val="en-US" w:eastAsia="zh-CN"/>
        </w:rPr>
        <w:t xml:space="preserve"> </w:t>
      </w:r>
      <w:bookmarkEnd w:id="56"/>
      <w:r>
        <w:rPr>
          <w:rFonts w:hint="eastAsia" w:ascii="宋体" w:hAnsi="宋体" w:eastAsia="宋体" w:cs="宋体"/>
          <w:lang w:val="en-US" w:eastAsia="zh-CN"/>
        </w:rPr>
        <w:t>台账信息宜包含化学类消耗品检验检测所需的关键信息。</w:t>
      </w:r>
      <w:bookmarkStart w:id="57" w:name="_Toc13057527"/>
    </w:p>
    <w:bookmarkEnd w:id="57"/>
    <w:p w14:paraId="53BE4196">
      <w:pPr>
        <w:pStyle w:val="4"/>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240" w:lineRule="auto"/>
        <w:ind w:leftChars="0"/>
        <w:textAlignment w:val="auto"/>
        <w:rPr>
          <w:rFonts w:hint="eastAsia"/>
          <w:lang w:val="en-US" w:eastAsia="zh-CN"/>
        </w:rPr>
      </w:pPr>
      <w:bookmarkStart w:id="58" w:name="_Toc28878"/>
      <w:bookmarkStart w:id="59" w:name="_Toc21597"/>
      <w:bookmarkStart w:id="60" w:name="_Toc13057528"/>
      <w:r>
        <w:rPr>
          <w:rFonts w:hint="eastAsia"/>
          <w:lang w:val="en-US" w:eastAsia="zh-CN"/>
        </w:rPr>
        <w:t>5.工作要求</w:t>
      </w:r>
      <w:bookmarkEnd w:id="58"/>
      <w:bookmarkEnd w:id="59"/>
    </w:p>
    <w:p w14:paraId="1BA5AE6F">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bookmarkStart w:id="61" w:name="_Toc7445"/>
      <w:r>
        <w:rPr>
          <w:rFonts w:hint="eastAsia"/>
          <w:lang w:val="en-US" w:eastAsia="zh-CN"/>
        </w:rPr>
        <w:t>5.1 标准品库存申购领用盘存管理</w:t>
      </w:r>
      <w:bookmarkEnd w:id="61"/>
    </w:p>
    <w:p w14:paraId="27873AA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lang w:val="en-US" w:eastAsia="zh-CN"/>
        </w:rPr>
      </w:pPr>
      <w:r>
        <w:rPr>
          <w:rFonts w:hint="default" w:ascii="Times New Roman" w:hAnsi="Times New Roman" w:cs="Times New Roman"/>
          <w:lang w:val="en-US" w:eastAsia="zh-CN"/>
        </w:rPr>
        <w:t>5.1.1</w:t>
      </w:r>
      <w:r>
        <w:rPr>
          <w:rFonts w:hint="eastAsia"/>
          <w:lang w:val="en-US" w:eastAsia="zh-CN"/>
        </w:rPr>
        <w:t xml:space="preserve">  标准品申购管理建议核实申购途径，包括政府采购和三方询价等非政府采购形式；核实供应商资质及资质有效期限等情况；并核实申购内容，包括名称、规格、厂家、数量等；核实库存信息，按照库存余量与检验检测方法需求对比，并申请购买。做好化学消耗品申购记录（</w:t>
      </w:r>
      <w:r>
        <w:rPr>
          <w:rFonts w:hint="eastAsia" w:ascii="Times New Roman" w:hAnsi="Times New Roman" w:eastAsia="宋体" w:cs="Times New Roman"/>
          <w:szCs w:val="21"/>
          <w:lang w:val="en-US" w:eastAsia="zh-CN"/>
        </w:rPr>
        <w:t>见附录A</w:t>
      </w:r>
      <w:r>
        <w:rPr>
          <w:rFonts w:hint="eastAsia"/>
          <w:lang w:val="en-US" w:eastAsia="zh-CN"/>
        </w:rPr>
        <w:t>）。</w:t>
      </w:r>
    </w:p>
    <w:p w14:paraId="66BEA81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lang w:val="en-US" w:eastAsia="zh-CN"/>
        </w:rPr>
      </w:pPr>
      <w:r>
        <w:rPr>
          <w:rFonts w:hint="default" w:ascii="Times New Roman" w:hAnsi="Times New Roman" w:cs="Times New Roman"/>
          <w:lang w:val="en-US" w:eastAsia="zh-CN"/>
        </w:rPr>
        <w:t xml:space="preserve">5.1.2 </w:t>
      </w:r>
      <w:r>
        <w:rPr>
          <w:rFonts w:hint="eastAsia"/>
          <w:lang w:val="en-US" w:eastAsia="zh-CN"/>
        </w:rPr>
        <w:t xml:space="preserve"> 标准品验收管理建议核对标准品到货信息，包括唯一性标识证书信息，批号、有效期限等关键信息；核对标准品外包装漏液情况。</w:t>
      </w:r>
      <w:r>
        <w:rPr>
          <w:rFonts w:hint="eastAsia" w:ascii="Times New Roman" w:hAnsi="Times New Roman" w:eastAsia="宋体" w:cs="Times New Roman"/>
          <w:szCs w:val="21"/>
          <w:lang w:val="en-US" w:eastAsia="zh-CN"/>
        </w:rPr>
        <w:t>做好化学消耗品申购、验收流程记录（见附录A），并做好</w:t>
      </w:r>
      <w:r>
        <w:rPr>
          <w:rFonts w:hint="eastAsia" w:ascii="宋体" w:hAnsi="宋体" w:eastAsia="宋体" w:cs="Times New Roman"/>
          <w:lang w:val="en-US" w:eastAsia="zh-CN"/>
        </w:rPr>
        <w:t>标准品</w:t>
      </w:r>
      <w:r>
        <w:rPr>
          <w:rFonts w:hint="eastAsia" w:ascii="宋体" w:hAnsi="宋体" w:cs="Times New Roman"/>
          <w:lang w:val="en-US" w:eastAsia="zh-CN"/>
        </w:rPr>
        <w:t>领用登记表</w:t>
      </w:r>
      <w:r>
        <w:rPr>
          <w:rFonts w:hint="eastAsia" w:hAnsi="宋体" w:eastAsia="宋体" w:cs="Times New Roman"/>
          <w:lang w:val="en-US" w:eastAsia="zh-CN"/>
        </w:rPr>
        <w:t>（见附录B）</w:t>
      </w:r>
      <w:r>
        <w:rPr>
          <w:rFonts w:hint="eastAsia" w:hAnsi="宋体" w:cs="Times New Roman"/>
          <w:lang w:val="en-US" w:eastAsia="zh-CN"/>
        </w:rPr>
        <w:t>。标准品</w:t>
      </w:r>
      <w:r>
        <w:rPr>
          <w:rFonts w:hint="eastAsia"/>
          <w:lang w:val="en-US" w:eastAsia="zh-CN"/>
        </w:rPr>
        <w:t>领用建议一次性配制完成。</w:t>
      </w:r>
    </w:p>
    <w:p w14:paraId="33D23FE5">
      <w:pPr>
        <w:keepNext w:val="0"/>
        <w:keepLines w:val="0"/>
        <w:pageBreakBefore w:val="0"/>
        <w:widowControl w:val="0"/>
        <w:tabs>
          <w:tab w:val="left" w:pos="581"/>
        </w:tabs>
        <w:kinsoku/>
        <w:wordWrap/>
        <w:overflowPunct/>
        <w:topLinePunct w:val="0"/>
        <w:autoSpaceDE/>
        <w:autoSpaceDN/>
        <w:bidi w:val="0"/>
        <w:adjustRightInd w:val="0"/>
        <w:snapToGrid/>
        <w:spacing w:line="240" w:lineRule="auto"/>
        <w:textAlignment w:val="auto"/>
        <w:rPr>
          <w:rFonts w:hint="eastAsia"/>
          <w:lang w:val="en-US" w:eastAsia="zh-CN"/>
        </w:rPr>
      </w:pPr>
      <w:r>
        <w:rPr>
          <w:rFonts w:hint="default" w:ascii="Times New Roman" w:hAnsi="Times New Roman" w:cs="Times New Roman"/>
          <w:lang w:val="en-US" w:eastAsia="zh-CN"/>
        </w:rPr>
        <w:t xml:space="preserve">5.1.3 </w:t>
      </w:r>
      <w:r>
        <w:rPr>
          <w:rFonts w:hint="eastAsia"/>
          <w:lang w:val="en-US" w:eastAsia="zh-CN"/>
        </w:rPr>
        <w:t xml:space="preserve"> 标准品库存管理建议核实外包装信息和台账信息保持一致。标准品建议以月、季度、年为单位对有效期限内的标准物质进行期间核查。未开封标准物质的期间核查检查标准品的储存状态，观察是否漏液、结块、外包装信息不全；已开封标准物质及其配置的标准溶液期间核查需进行特定量值稳定性核查，分析校准结果的偏离程度是否满足检验检测需求（见附录B）。</w:t>
      </w:r>
    </w:p>
    <w:p w14:paraId="722D083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rPr>
          <w:rFonts w:hint="default"/>
          <w:lang w:val="en-US" w:eastAsia="zh-CN"/>
        </w:rPr>
      </w:pPr>
      <w:r>
        <w:rPr>
          <w:rFonts w:hint="default" w:ascii="Times New Roman" w:hAnsi="Times New Roman" w:cs="Times New Roman"/>
          <w:lang w:val="en-US" w:eastAsia="zh-CN"/>
        </w:rPr>
        <w:t xml:space="preserve">5.1.4  </w:t>
      </w:r>
      <w:r>
        <w:rPr>
          <w:rFonts w:hint="eastAsia"/>
          <w:lang w:val="en-US" w:eastAsia="zh-CN"/>
        </w:rPr>
        <w:t xml:space="preserve"> 过期、废弃标准品处置建议以月为周期统一清理。</w:t>
      </w:r>
    </w:p>
    <w:p w14:paraId="20C123C7">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bookmarkStart w:id="62" w:name="_Toc339"/>
      <w:r>
        <w:rPr>
          <w:rFonts w:hint="eastAsia"/>
          <w:lang w:val="en-US" w:eastAsia="zh-CN"/>
        </w:rPr>
        <w:t>5.2 危化品库存申购领用盘存管理</w:t>
      </w:r>
      <w:bookmarkEnd w:id="62"/>
    </w:p>
    <w:p w14:paraId="2F45326F">
      <w:pPr>
        <w:keepNext w:val="0"/>
        <w:keepLines w:val="0"/>
        <w:pageBreakBefore w:val="0"/>
        <w:widowControl w:val="0"/>
        <w:tabs>
          <w:tab w:val="left" w:pos="581"/>
        </w:tabs>
        <w:kinsoku/>
        <w:wordWrap/>
        <w:overflowPunct/>
        <w:topLinePunct w:val="0"/>
        <w:autoSpaceDE/>
        <w:autoSpaceDN/>
        <w:bidi w:val="0"/>
        <w:adjustRightInd w:val="0"/>
        <w:snapToGrid/>
        <w:spacing w:line="240" w:lineRule="auto"/>
        <w:textAlignment w:val="auto"/>
        <w:rPr>
          <w:rFonts w:hint="eastAsia" w:cs="Times New Roman"/>
          <w:lang w:val="en-US" w:eastAsia="zh-CN"/>
        </w:rPr>
      </w:pPr>
      <w:r>
        <w:rPr>
          <w:rFonts w:hint="default" w:ascii="Times New Roman" w:hAnsi="Times New Roman" w:eastAsia="宋体" w:cs="Times New Roman"/>
          <w:lang w:val="en-US" w:eastAsia="zh-CN"/>
        </w:rPr>
        <w:t>5</w:t>
      </w:r>
      <w:r>
        <w:rPr>
          <w:rFonts w:hint="default" w:ascii="Times New Roman" w:hAnsi="Times New Roman" w:cs="Times New Roman"/>
          <w:lang w:val="en-US" w:eastAsia="zh-CN"/>
        </w:rPr>
        <w:t xml:space="preserve">.2.1 </w:t>
      </w:r>
      <w:r>
        <w:rPr>
          <w:rFonts w:hint="eastAsia" w:cs="Times New Roman"/>
          <w:lang w:val="en-US" w:eastAsia="zh-CN"/>
        </w:rPr>
        <w:t xml:space="preserve"> 危化品申购前宜参照</w:t>
      </w:r>
      <w:r>
        <w:rPr>
          <w:rFonts w:hint="default" w:ascii="Times New Roman" w:hAnsi="Times New Roman" w:eastAsia="黑体" w:cs="Times New Roman"/>
          <w:lang w:val="en-US" w:eastAsia="zh-CN"/>
        </w:rPr>
        <w:t>5.1.1</w:t>
      </w:r>
      <w:r>
        <w:rPr>
          <w:rFonts w:hint="eastAsia" w:cs="Times New Roman"/>
          <w:lang w:val="en-US" w:eastAsia="zh-CN"/>
        </w:rPr>
        <w:t>，核查供应商资质，包括营业执照、易制毒、易燃易爆危化品经营许可证、运输证等。</w:t>
      </w:r>
    </w:p>
    <w:p w14:paraId="0F3C0D57">
      <w:pPr>
        <w:keepNext w:val="0"/>
        <w:keepLines w:val="0"/>
        <w:pageBreakBefore w:val="0"/>
        <w:widowControl w:val="0"/>
        <w:tabs>
          <w:tab w:val="left" w:pos="581"/>
        </w:tabs>
        <w:kinsoku/>
        <w:wordWrap/>
        <w:overflowPunct/>
        <w:topLinePunct w:val="0"/>
        <w:autoSpaceDE/>
        <w:autoSpaceDN/>
        <w:bidi w:val="0"/>
        <w:adjustRightInd w:val="0"/>
        <w:snapToGrid/>
        <w:spacing w:line="240" w:lineRule="auto"/>
        <w:textAlignment w:val="auto"/>
        <w:rPr>
          <w:rFonts w:hint="eastAsia" w:cs="Times New Roman"/>
          <w:lang w:val="en-US" w:eastAsia="zh-CN"/>
        </w:rPr>
      </w:pPr>
      <w:r>
        <w:rPr>
          <w:rFonts w:hint="default" w:ascii="Times New Roman" w:hAnsi="Times New Roman" w:cs="Times New Roman"/>
          <w:lang w:val="en-US" w:eastAsia="zh-CN"/>
        </w:rPr>
        <w:t xml:space="preserve">5.2.2 </w:t>
      </w:r>
      <w:r>
        <w:rPr>
          <w:rFonts w:hint="eastAsia" w:cs="Times New Roman"/>
          <w:lang w:val="en-US" w:eastAsia="zh-CN"/>
        </w:rPr>
        <w:t xml:space="preserve"> 危化品的验收宜符合</w:t>
      </w:r>
      <w:r>
        <w:rPr>
          <w:rFonts w:hint="default" w:ascii="Times New Roman" w:hAnsi="Times New Roman" w:cs="Times New Roman"/>
          <w:lang w:val="en-US" w:eastAsia="zh-CN"/>
        </w:rPr>
        <w:t xml:space="preserve"> GB/T 16483</w:t>
      </w:r>
      <w:r>
        <w:rPr>
          <w:rFonts w:hint="eastAsia" w:cs="Times New Roman"/>
          <w:lang w:val="en-US" w:eastAsia="zh-CN"/>
        </w:rPr>
        <w:t>或</w:t>
      </w:r>
      <w:r>
        <w:rPr>
          <w:rFonts w:hint="default" w:ascii="Times New Roman" w:hAnsi="Times New Roman" w:cs="Times New Roman"/>
          <w:lang w:val="en-US" w:eastAsia="zh-CN"/>
        </w:rPr>
        <w:t>GB/T 17519</w:t>
      </w:r>
      <w:r>
        <w:rPr>
          <w:rFonts w:hint="eastAsia" w:cs="Times New Roman"/>
          <w:lang w:val="en-US" w:eastAsia="zh-CN"/>
        </w:rPr>
        <w:t>规定的化学品安全技术说明书要求。危化品验收需核查外观、数量、包装、标签（应符合</w:t>
      </w:r>
      <w:r>
        <w:rPr>
          <w:rFonts w:hint="default" w:ascii="Times New Roman" w:hAnsi="Times New Roman" w:cs="Times New Roman"/>
          <w:lang w:val="en-US" w:eastAsia="zh-CN"/>
        </w:rPr>
        <w:t>GB 15258</w:t>
      </w:r>
      <w:r>
        <w:rPr>
          <w:rFonts w:hint="eastAsia" w:cs="Times New Roman"/>
          <w:lang w:val="en-US" w:eastAsia="zh-CN"/>
        </w:rPr>
        <w:t>的要求），建立台账，做好盘存登记（附录C）。</w:t>
      </w:r>
    </w:p>
    <w:p w14:paraId="2B597421">
      <w:pPr>
        <w:keepNext w:val="0"/>
        <w:keepLines w:val="0"/>
        <w:pageBreakBefore w:val="0"/>
        <w:widowControl w:val="0"/>
        <w:tabs>
          <w:tab w:val="left" w:pos="581"/>
        </w:tabs>
        <w:kinsoku/>
        <w:wordWrap/>
        <w:overflowPunct/>
        <w:topLinePunct w:val="0"/>
        <w:autoSpaceDE/>
        <w:autoSpaceDN/>
        <w:bidi w:val="0"/>
        <w:adjustRightInd w:val="0"/>
        <w:snapToGrid/>
        <w:spacing w:line="240" w:lineRule="auto"/>
        <w:textAlignment w:val="auto"/>
        <w:rPr>
          <w:rFonts w:hint="eastAsia" w:cs="Times New Roman"/>
          <w:lang w:val="en-US" w:eastAsia="zh-CN"/>
        </w:rPr>
      </w:pPr>
      <w:r>
        <w:rPr>
          <w:rFonts w:hint="default" w:ascii="Times New Roman" w:hAnsi="Times New Roman" w:cs="Times New Roman"/>
          <w:lang w:val="en-US" w:eastAsia="zh-CN"/>
        </w:rPr>
        <w:t xml:space="preserve">5.2.3 </w:t>
      </w:r>
      <w:r>
        <w:rPr>
          <w:rFonts w:hint="eastAsia" w:cs="Times New Roman"/>
          <w:lang w:val="en-US" w:eastAsia="zh-CN"/>
        </w:rPr>
        <w:t xml:space="preserve"> 危化品储存单一包装容器需符合</w:t>
      </w:r>
      <w:r>
        <w:rPr>
          <w:rFonts w:hint="default" w:ascii="Times New Roman" w:hAnsi="Times New Roman" w:cs="Times New Roman"/>
          <w:lang w:val="en-US" w:eastAsia="zh-CN"/>
        </w:rPr>
        <w:t>GB 28644.1</w:t>
      </w:r>
      <w:r>
        <w:rPr>
          <w:rFonts w:hint="eastAsia" w:cs="Times New Roman"/>
          <w:lang w:val="en-US" w:eastAsia="zh-CN"/>
        </w:rPr>
        <w:t>规定的例外数量或</w:t>
      </w:r>
      <w:r>
        <w:rPr>
          <w:rFonts w:hint="default" w:ascii="Times New Roman" w:hAnsi="Times New Roman" w:cs="Times New Roman"/>
          <w:lang w:val="en-US" w:eastAsia="zh-CN"/>
        </w:rPr>
        <w:t>GB 28644.2</w:t>
      </w:r>
      <w:r>
        <w:rPr>
          <w:rFonts w:hint="eastAsia" w:cs="Times New Roman"/>
          <w:lang w:val="en-US" w:eastAsia="zh-CN"/>
        </w:rPr>
        <w:t>规定的有限范围内。专人保管，双人双锁。</w:t>
      </w:r>
    </w:p>
    <w:p w14:paraId="496F54EA">
      <w:pPr>
        <w:keepNext w:val="0"/>
        <w:keepLines w:val="0"/>
        <w:pageBreakBefore w:val="0"/>
        <w:widowControl w:val="0"/>
        <w:tabs>
          <w:tab w:val="left" w:pos="581"/>
        </w:tabs>
        <w:kinsoku/>
        <w:wordWrap/>
        <w:overflowPunct/>
        <w:topLinePunct w:val="0"/>
        <w:autoSpaceDE/>
        <w:autoSpaceDN/>
        <w:bidi w:val="0"/>
        <w:adjustRightInd w:val="0"/>
        <w:snapToGrid/>
        <w:spacing w:line="240" w:lineRule="auto"/>
        <w:textAlignment w:val="auto"/>
        <w:rPr>
          <w:rFonts w:hint="eastAsia" w:cs="Times New Roman"/>
          <w:lang w:val="en-US" w:eastAsia="zh-CN"/>
        </w:rPr>
      </w:pPr>
      <w:r>
        <w:rPr>
          <w:rFonts w:hint="default" w:ascii="Times New Roman" w:hAnsi="Times New Roman" w:cs="Times New Roman"/>
          <w:lang w:val="en-US" w:eastAsia="zh-CN"/>
        </w:rPr>
        <w:t>5.2.4</w:t>
      </w:r>
      <w:r>
        <w:rPr>
          <w:rFonts w:hint="eastAsia" w:cs="Times New Roman"/>
          <w:lang w:val="en-US" w:eastAsia="zh-CN"/>
        </w:rPr>
        <w:t xml:space="preserve">  废弃危化品处置宜符合</w:t>
      </w:r>
      <w:r>
        <w:rPr>
          <w:rFonts w:hint="default" w:ascii="Times New Roman" w:hAnsi="Times New Roman" w:cs="Times New Roman"/>
          <w:lang w:val="en-US" w:eastAsia="zh-CN"/>
        </w:rPr>
        <w:t>GB/T 31190 、GB27476.1、GB27476.5</w:t>
      </w:r>
      <w:r>
        <w:rPr>
          <w:rFonts w:hint="eastAsia" w:cs="Times New Roman"/>
          <w:lang w:val="en-US" w:eastAsia="zh-CN"/>
        </w:rPr>
        <w:t>及</w:t>
      </w:r>
      <w:r>
        <w:rPr>
          <w:rFonts w:hint="default" w:ascii="Times New Roman" w:hAnsi="Times New Roman" w:cs="Times New Roman"/>
          <w:lang w:val="en-US" w:eastAsia="zh-CN"/>
        </w:rPr>
        <w:t>DB11/T1368</w:t>
      </w:r>
      <w:r>
        <w:rPr>
          <w:rFonts w:hint="eastAsia" w:cs="Times New Roman"/>
          <w:lang w:val="en-US" w:eastAsia="zh-CN"/>
        </w:rPr>
        <w:t>的规定。</w:t>
      </w:r>
      <w:bookmarkStart w:id="63" w:name="_Toc4030"/>
    </w:p>
    <w:p w14:paraId="7F026BE0">
      <w:pPr>
        <w:keepNext w:val="0"/>
        <w:keepLines w:val="0"/>
        <w:pageBreakBefore w:val="0"/>
        <w:widowControl w:val="0"/>
        <w:tabs>
          <w:tab w:val="left" w:pos="581"/>
        </w:tabs>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t>5.3 关键试剂耗材申购领用盘存管理</w:t>
      </w:r>
      <w:bookmarkEnd w:id="63"/>
    </w:p>
    <w:p w14:paraId="146BF529">
      <w:pPr>
        <w:keepNext w:val="0"/>
        <w:keepLines w:val="0"/>
        <w:pageBreakBefore w:val="0"/>
        <w:widowControl w:val="0"/>
        <w:tabs>
          <w:tab w:val="left" w:pos="581"/>
        </w:tabs>
        <w:kinsoku/>
        <w:wordWrap/>
        <w:overflowPunct/>
        <w:topLinePunct w:val="0"/>
        <w:autoSpaceDE/>
        <w:autoSpaceDN/>
        <w:bidi w:val="0"/>
        <w:adjustRightInd w:val="0"/>
        <w:snapToGrid/>
        <w:spacing w:line="240" w:lineRule="auto"/>
        <w:textAlignment w:val="auto"/>
        <w:rPr>
          <w:rFonts w:hint="default" w:cs="Times New Roman"/>
          <w:lang w:val="en-US" w:eastAsia="zh-CN"/>
        </w:rPr>
      </w:pPr>
      <w:r>
        <w:rPr>
          <w:rFonts w:hint="default" w:ascii="Times New Roman" w:hAnsi="Times New Roman" w:cs="Times New Roman"/>
          <w:lang w:val="en-US" w:eastAsia="zh-CN"/>
        </w:rPr>
        <w:t>5.3.1</w:t>
      </w:r>
      <w:r>
        <w:rPr>
          <w:rFonts w:hint="eastAsia" w:cs="Times New Roman"/>
          <w:lang w:val="en-US" w:eastAsia="zh-CN"/>
        </w:rPr>
        <w:t xml:space="preserve">  关键试剂耗材消耗品包括免疫亲和柱、固相萃取柱以及检验检测常用、通用、大量使用的试剂。申购管理宜参照</w:t>
      </w:r>
      <w:r>
        <w:rPr>
          <w:rFonts w:hint="default" w:ascii="Times New Roman" w:hAnsi="Times New Roman" w:cs="Times New Roman"/>
          <w:lang w:val="en-US" w:eastAsia="zh-CN"/>
        </w:rPr>
        <w:t xml:space="preserve">5.1.1 </w:t>
      </w:r>
      <w:r>
        <w:rPr>
          <w:rFonts w:hint="eastAsia" w:cs="Times New Roman"/>
          <w:lang w:val="en-US" w:eastAsia="zh-CN"/>
        </w:rPr>
        <w:t>。</w:t>
      </w:r>
    </w:p>
    <w:p w14:paraId="55976F6E">
      <w:pPr>
        <w:keepNext w:val="0"/>
        <w:keepLines w:val="0"/>
        <w:pageBreakBefore w:val="0"/>
        <w:widowControl w:val="0"/>
        <w:tabs>
          <w:tab w:val="left" w:pos="581"/>
        </w:tabs>
        <w:kinsoku/>
        <w:wordWrap/>
        <w:overflowPunct/>
        <w:topLinePunct w:val="0"/>
        <w:autoSpaceDE/>
        <w:autoSpaceDN/>
        <w:bidi w:val="0"/>
        <w:adjustRightInd w:val="0"/>
        <w:snapToGrid/>
        <w:spacing w:line="240" w:lineRule="auto"/>
        <w:textAlignment w:val="auto"/>
        <w:rPr>
          <w:rFonts w:hint="default" w:cs="Times New Roman"/>
          <w:lang w:val="en-US" w:eastAsia="zh-CN"/>
        </w:rPr>
      </w:pPr>
      <w:r>
        <w:rPr>
          <w:rFonts w:hint="default" w:ascii="Times New Roman" w:hAnsi="Times New Roman" w:cs="Times New Roman"/>
          <w:lang w:val="en-US" w:eastAsia="zh-CN"/>
        </w:rPr>
        <w:t>5.3.2</w:t>
      </w:r>
      <w:r>
        <w:rPr>
          <w:rFonts w:hint="eastAsia" w:cs="Times New Roman"/>
          <w:lang w:val="en-US" w:eastAsia="zh-CN"/>
        </w:rPr>
        <w:t xml:space="preserve">  关键试剂耗材验收管理宜参照</w:t>
      </w:r>
      <w:r>
        <w:rPr>
          <w:rFonts w:hint="default" w:ascii="Times New Roman" w:hAnsi="Times New Roman" w:eastAsia="黑体" w:cs="Times New Roman"/>
          <w:lang w:val="en-US" w:eastAsia="zh-CN"/>
        </w:rPr>
        <w:t>5.1.2</w:t>
      </w:r>
      <w:r>
        <w:rPr>
          <w:rFonts w:hint="eastAsia" w:cs="Times New Roman"/>
          <w:lang w:val="en-US" w:eastAsia="zh-CN"/>
        </w:rPr>
        <w:t>，关键试剂耗材的验收建议进行外观检查、标签检查、证书检查和品质测试，确保到货试剂耗材满足检验检测需求。试剂耗材验收应填写关键试剂耗材验收记录、领用记录、盘存记录（附录D）。</w:t>
      </w:r>
    </w:p>
    <w:p w14:paraId="1A110E27">
      <w:pPr>
        <w:keepNext w:val="0"/>
        <w:keepLines w:val="0"/>
        <w:pageBreakBefore w:val="0"/>
        <w:widowControl w:val="0"/>
        <w:tabs>
          <w:tab w:val="left" w:pos="581"/>
        </w:tabs>
        <w:kinsoku/>
        <w:wordWrap/>
        <w:overflowPunct/>
        <w:topLinePunct w:val="0"/>
        <w:autoSpaceDE/>
        <w:autoSpaceDN/>
        <w:bidi w:val="0"/>
        <w:adjustRightInd w:val="0"/>
        <w:snapToGrid/>
        <w:spacing w:line="240" w:lineRule="auto"/>
        <w:textAlignment w:val="auto"/>
        <w:rPr>
          <w:rFonts w:hint="eastAsia" w:cs="Times New Roman"/>
          <w:lang w:val="en-US" w:eastAsia="zh-CN"/>
        </w:rPr>
      </w:pPr>
      <w:r>
        <w:rPr>
          <w:rFonts w:hint="default" w:ascii="Times New Roman" w:hAnsi="Times New Roman" w:cs="Times New Roman"/>
          <w:lang w:val="en-US" w:eastAsia="zh-CN"/>
        </w:rPr>
        <w:t>5.3.3</w:t>
      </w:r>
      <w:r>
        <w:rPr>
          <w:rFonts w:hint="eastAsia" w:cs="Times New Roman"/>
          <w:lang w:val="en-US" w:eastAsia="zh-CN"/>
        </w:rPr>
        <w:t xml:space="preserve">  关键试剂耗材库存管理宜做好余量管理。液体试剂以毫升为计量单位、固体试剂以毫克为计量单位。</w:t>
      </w:r>
    </w:p>
    <w:p w14:paraId="4F40880A">
      <w:pPr>
        <w:keepNext w:val="0"/>
        <w:keepLines w:val="0"/>
        <w:pageBreakBefore w:val="0"/>
        <w:widowControl w:val="0"/>
        <w:tabs>
          <w:tab w:val="left" w:pos="581"/>
        </w:tabs>
        <w:kinsoku/>
        <w:wordWrap/>
        <w:overflowPunct/>
        <w:topLinePunct w:val="0"/>
        <w:autoSpaceDE/>
        <w:autoSpaceDN/>
        <w:bidi w:val="0"/>
        <w:adjustRightInd w:val="0"/>
        <w:snapToGrid/>
        <w:spacing w:line="240" w:lineRule="auto"/>
        <w:textAlignment w:val="auto"/>
        <w:rPr>
          <w:rFonts w:hint="default" w:cs="Times New Roman"/>
          <w:lang w:val="en-US" w:eastAsia="zh-CN"/>
        </w:rPr>
      </w:pPr>
      <w:r>
        <w:rPr>
          <w:rFonts w:hint="default" w:ascii="Times New Roman" w:hAnsi="Times New Roman" w:cs="Times New Roman"/>
          <w:lang w:val="en-US" w:eastAsia="zh-CN"/>
        </w:rPr>
        <w:t>5.3.4</w:t>
      </w:r>
      <w:r>
        <w:rPr>
          <w:rFonts w:hint="eastAsia" w:cs="Times New Roman"/>
          <w:lang w:val="en-US" w:eastAsia="zh-CN"/>
        </w:rPr>
        <w:t xml:space="preserve">   废弃关键试剂耗材处置建议以月为周期统一清理。</w:t>
      </w:r>
    </w:p>
    <w:p w14:paraId="4CD5A4E3">
      <w:pPr>
        <w:pStyle w:val="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5.4 化学消耗品台账文件管理</w:t>
      </w:r>
    </w:p>
    <w:p w14:paraId="69577D54">
      <w:pPr>
        <w:pStyle w:val="6"/>
        <w:ind w:left="0" w:leftChars="0" w:firstLine="0" w:firstLineChars="0"/>
        <w:rPr>
          <w:rFonts w:hint="eastAsia" w:cs="Times New Roman"/>
          <w:lang w:val="en-US" w:eastAsia="zh-CN"/>
        </w:rPr>
      </w:pPr>
      <w:r>
        <w:rPr>
          <w:rFonts w:hint="default" w:ascii="Times New Roman" w:hAnsi="Times New Roman" w:cs="Times New Roman"/>
          <w:lang w:val="en-US" w:eastAsia="zh-CN"/>
        </w:rPr>
        <w:t>5.4.4.1</w:t>
      </w:r>
      <w:r>
        <w:rPr>
          <w:rFonts w:hint="eastAsia" w:cs="Times New Roman"/>
          <w:lang w:val="en-US" w:eastAsia="zh-CN"/>
        </w:rPr>
        <w:t xml:space="preserve">  化学消耗品申购、验收、入库盘存的台账文件管理，应留档归存。</w:t>
      </w:r>
    </w:p>
    <w:p w14:paraId="2E784A27">
      <w:pPr>
        <w:pStyle w:val="6"/>
        <w:ind w:left="0" w:leftChars="0" w:firstLine="0" w:firstLineChars="0"/>
        <w:rPr>
          <w:rFonts w:hint="eastAsia" w:cs="Times New Roman"/>
          <w:lang w:val="en-US" w:eastAsia="zh-CN"/>
        </w:rPr>
      </w:pPr>
      <w:r>
        <w:rPr>
          <w:rFonts w:hint="default" w:ascii="Times New Roman" w:hAnsi="Times New Roman" w:cs="Times New Roman"/>
          <w:lang w:val="en-US" w:eastAsia="zh-CN"/>
        </w:rPr>
        <w:t xml:space="preserve">5.4.4.2 </w:t>
      </w:r>
      <w:r>
        <w:rPr>
          <w:rFonts w:hint="eastAsia" w:cs="Times New Roman"/>
          <w:lang w:val="en-US" w:eastAsia="zh-CN"/>
        </w:rPr>
        <w:t xml:space="preserve"> 建议按照检验检测需求，做好化学消耗品申购、验收流程记录（见附录A），并做好标准品（见附录B）、危化品及（见附录C）其相应关键试剂耗材（见附录D）领用记录及库存盘存全链条记录。一次性未用完需要归还入库的消耗品，需要做好余量盘存记录。</w:t>
      </w:r>
    </w:p>
    <w:p w14:paraId="394F67EA">
      <w:pPr>
        <w:pStyle w:val="6"/>
        <w:ind w:left="0" w:leftChars="0" w:firstLine="0" w:firstLineChars="0"/>
        <w:rPr>
          <w:rFonts w:hint="default" w:cs="Times New Roman"/>
          <w:lang w:val="en-US" w:eastAsia="zh-CN"/>
        </w:rPr>
      </w:pPr>
      <w:r>
        <w:rPr>
          <w:rFonts w:hint="default" w:ascii="Times New Roman" w:hAnsi="Times New Roman" w:cs="Times New Roman"/>
          <w:lang w:val="en-US" w:eastAsia="zh-CN"/>
        </w:rPr>
        <w:t>5.4.4.3</w:t>
      </w:r>
      <w:r>
        <w:rPr>
          <w:rFonts w:hint="eastAsia" w:cs="Times New Roman"/>
          <w:lang w:val="en-US" w:eastAsia="zh-CN"/>
        </w:rPr>
        <w:t xml:space="preserve">  化学消耗品申购、验收记录建议配套发票、出库单、收据，整合管理。</w:t>
      </w:r>
    </w:p>
    <w:p w14:paraId="25847BA9">
      <w:pPr>
        <w:pStyle w:val="6"/>
        <w:keepNext w:val="0"/>
        <w:keepLines w:val="0"/>
        <w:pageBreakBefore w:val="0"/>
        <w:widowControl/>
        <w:kinsoku/>
        <w:wordWrap/>
        <w:overflowPunct/>
        <w:topLinePunct w:val="0"/>
        <w:autoSpaceDE w:val="0"/>
        <w:autoSpaceDN w:val="0"/>
        <w:bidi w:val="0"/>
        <w:adjustRightInd/>
        <w:snapToGrid/>
        <w:spacing w:after="1873" w:afterLines="600" w:line="240" w:lineRule="auto"/>
        <w:ind w:left="0" w:leftChars="0" w:firstLine="0" w:firstLineChars="0"/>
        <w:textAlignment w:val="auto"/>
        <w:rPr>
          <w:rFonts w:hint="eastAsia"/>
        </w:rPr>
      </w:pPr>
      <w:r>
        <w:rPr>
          <w:rFonts w:hint="default" w:ascii="Times New Roman" w:hAnsi="Times New Roman" w:cs="Times New Roman"/>
          <w:lang w:val="en-US" w:eastAsia="zh-CN"/>
        </w:rPr>
        <w:t xml:space="preserve">5.4.4.4 </w:t>
      </w:r>
      <w:r>
        <w:rPr>
          <w:rFonts w:hint="eastAsia" w:cs="Times New Roman"/>
          <w:lang w:val="en-US" w:eastAsia="zh-CN"/>
        </w:rPr>
        <w:t xml:space="preserve"> 台账数据由单位归档，</w:t>
      </w:r>
      <w:r>
        <w:rPr>
          <w:rFonts w:hint="eastAsia"/>
          <w:lang w:val="en-US" w:eastAsia="zh-CN"/>
        </w:rPr>
        <w:t>保存期限不得低于物资保质期后</w:t>
      </w:r>
      <w:r>
        <w:rPr>
          <w:rFonts w:hint="default" w:ascii="Times New Roman" w:hAnsi="Times New Roman" w:cs="Times New Roman"/>
          <w:lang w:val="en-US" w:eastAsia="zh-CN"/>
        </w:rPr>
        <w:t>1</w:t>
      </w:r>
      <w:r>
        <w:rPr>
          <w:rFonts w:hint="eastAsia"/>
          <w:lang w:val="en-US" w:eastAsia="zh-CN"/>
        </w:rPr>
        <w:t>年，无保质期限的不得低于</w:t>
      </w:r>
      <w:r>
        <w:rPr>
          <w:rFonts w:hint="default" w:ascii="Times New Roman" w:hAnsi="Times New Roman" w:cs="Times New Roman"/>
          <w:lang w:val="en-US" w:eastAsia="zh-CN"/>
        </w:rPr>
        <w:t>2</w:t>
      </w:r>
      <w:r>
        <w:rPr>
          <w:rFonts w:hint="eastAsia"/>
          <w:lang w:val="en-US" w:eastAsia="zh-CN"/>
        </w:rPr>
        <w:t>年</w:t>
      </w:r>
      <w:r>
        <w:rPr>
          <w:rFonts w:hint="eastAsia" w:cs="Times New Roman"/>
          <w:lang w:val="en-US" w:eastAsia="zh-CN"/>
        </w:rPr>
        <w:t>。</w:t>
      </w:r>
    </w:p>
    <w:p w14:paraId="0DC94D15">
      <w:pPr>
        <w:widowControl/>
        <w:kinsoku w:val="0"/>
        <w:autoSpaceDE w:val="0"/>
        <w:autoSpaceDN w:val="0"/>
        <w:adjustRightInd w:val="0"/>
        <w:snapToGrid w:val="0"/>
        <w:spacing w:before="68" w:line="310" w:lineRule="exact"/>
        <w:jc w:val="left"/>
        <w:textAlignment w:val="baseline"/>
        <w:rPr>
          <w:rFonts w:ascii="黑体" w:hAnsi="黑体" w:eastAsia="黑体" w:cs="黑体"/>
          <w:snapToGrid w:val="0"/>
          <w:color w:val="000000"/>
          <w:spacing w:val="-3"/>
          <w:kern w:val="0"/>
          <w:position w:val="7"/>
          <w:szCs w:val="21"/>
        </w:rPr>
      </w:pPr>
    </w:p>
    <w:p w14:paraId="3339F4CA">
      <w:pPr>
        <w:widowControl/>
        <w:kinsoku w:val="0"/>
        <w:autoSpaceDE w:val="0"/>
        <w:autoSpaceDN w:val="0"/>
        <w:adjustRightInd w:val="0"/>
        <w:snapToGrid w:val="0"/>
        <w:spacing w:before="68" w:line="310" w:lineRule="exact"/>
        <w:ind w:left="4223"/>
        <w:jc w:val="left"/>
        <w:textAlignment w:val="baseline"/>
        <w:rPr>
          <w:rFonts w:ascii="黑体" w:hAnsi="黑体" w:eastAsia="黑体" w:cs="黑体"/>
          <w:snapToGrid w:val="0"/>
          <w:color w:val="000000"/>
          <w:spacing w:val="-3"/>
          <w:kern w:val="0"/>
          <w:position w:val="7"/>
          <w:szCs w:val="21"/>
        </w:rPr>
      </w:pPr>
    </w:p>
    <w:p w14:paraId="344BDC6C">
      <w:pPr>
        <w:widowControl/>
        <w:kinsoku w:val="0"/>
        <w:autoSpaceDE w:val="0"/>
        <w:autoSpaceDN w:val="0"/>
        <w:adjustRightInd w:val="0"/>
        <w:snapToGrid w:val="0"/>
        <w:spacing w:before="68" w:line="310" w:lineRule="exact"/>
        <w:ind w:left="4223"/>
        <w:jc w:val="left"/>
        <w:textAlignment w:val="baseline"/>
        <w:rPr>
          <w:rFonts w:ascii="黑体" w:hAnsi="黑体" w:eastAsia="黑体" w:cs="黑体"/>
          <w:snapToGrid w:val="0"/>
          <w:color w:val="000000"/>
          <w:spacing w:val="-3"/>
          <w:kern w:val="0"/>
          <w:position w:val="7"/>
          <w:szCs w:val="21"/>
        </w:rPr>
      </w:pPr>
    </w:p>
    <w:p w14:paraId="7CC1B1AB">
      <w:pPr>
        <w:widowControl/>
        <w:kinsoku w:val="0"/>
        <w:autoSpaceDE w:val="0"/>
        <w:autoSpaceDN w:val="0"/>
        <w:adjustRightInd w:val="0"/>
        <w:snapToGrid w:val="0"/>
        <w:spacing w:before="68" w:line="310" w:lineRule="exact"/>
        <w:ind w:left="4223"/>
        <w:jc w:val="left"/>
        <w:textAlignment w:val="baseline"/>
        <w:rPr>
          <w:rFonts w:ascii="黑体" w:hAnsi="黑体" w:eastAsia="黑体" w:cs="黑体"/>
          <w:snapToGrid w:val="0"/>
          <w:color w:val="000000"/>
          <w:spacing w:val="-3"/>
          <w:kern w:val="0"/>
          <w:position w:val="7"/>
          <w:szCs w:val="21"/>
        </w:rPr>
      </w:pPr>
    </w:p>
    <w:p w14:paraId="7DC55E3F">
      <w:pPr>
        <w:widowControl/>
        <w:kinsoku w:val="0"/>
        <w:autoSpaceDE w:val="0"/>
        <w:autoSpaceDN w:val="0"/>
        <w:adjustRightInd w:val="0"/>
        <w:snapToGrid w:val="0"/>
        <w:spacing w:before="68" w:line="310" w:lineRule="exact"/>
        <w:jc w:val="left"/>
        <w:textAlignment w:val="baseline"/>
        <w:rPr>
          <w:rFonts w:ascii="黑体" w:hAnsi="黑体" w:eastAsia="黑体" w:cs="黑体"/>
          <w:snapToGrid w:val="0"/>
          <w:color w:val="000000"/>
          <w:spacing w:val="-3"/>
          <w:kern w:val="0"/>
          <w:position w:val="7"/>
          <w:szCs w:val="21"/>
        </w:rPr>
      </w:pPr>
    </w:p>
    <w:p w14:paraId="06B83157">
      <w:pPr>
        <w:widowControl/>
        <w:kinsoku w:val="0"/>
        <w:autoSpaceDE w:val="0"/>
        <w:autoSpaceDN w:val="0"/>
        <w:adjustRightInd w:val="0"/>
        <w:snapToGrid w:val="0"/>
        <w:spacing w:before="68" w:line="310" w:lineRule="exact"/>
        <w:jc w:val="left"/>
        <w:textAlignment w:val="baseline"/>
        <w:rPr>
          <w:rFonts w:ascii="黑体" w:hAnsi="黑体" w:eastAsia="黑体" w:cs="黑体"/>
          <w:snapToGrid w:val="0"/>
          <w:color w:val="000000"/>
          <w:spacing w:val="-3"/>
          <w:kern w:val="0"/>
          <w:position w:val="7"/>
          <w:szCs w:val="21"/>
        </w:rPr>
        <w:sectPr>
          <w:footerReference r:id="rId17" w:type="default"/>
          <w:footerReference r:id="rId18" w:type="even"/>
          <w:pgSz w:w="11907" w:h="16839"/>
          <w:pgMar w:top="1418" w:right="1134" w:bottom="1134" w:left="1418" w:header="1418" w:footer="851" w:gutter="0"/>
          <w:pgNumType w:start="1"/>
          <w:cols w:space="720" w:num="1"/>
          <w:docGrid w:type="lines" w:linePitch="312" w:charSpace="0"/>
        </w:sectPr>
      </w:pPr>
    </w:p>
    <w:p w14:paraId="2929E4BF">
      <w:pPr>
        <w:widowControl/>
        <w:kinsoku w:val="0"/>
        <w:autoSpaceDE w:val="0"/>
        <w:autoSpaceDN w:val="0"/>
        <w:adjustRightInd w:val="0"/>
        <w:snapToGrid w:val="0"/>
        <w:spacing w:before="68" w:line="310" w:lineRule="exact"/>
        <w:ind w:left="4223"/>
        <w:jc w:val="left"/>
        <w:textAlignment w:val="baseline"/>
        <w:rPr>
          <w:rFonts w:ascii="黑体" w:hAnsi="黑体" w:eastAsia="黑体" w:cs="黑体"/>
          <w:snapToGrid w:val="0"/>
          <w:color w:val="000000"/>
          <w:spacing w:val="-3"/>
          <w:kern w:val="0"/>
          <w:position w:val="7"/>
          <w:szCs w:val="21"/>
        </w:rPr>
      </w:pPr>
    </w:p>
    <w:p w14:paraId="6AF60CB5">
      <w:pPr>
        <w:widowControl/>
        <w:kinsoku w:val="0"/>
        <w:autoSpaceDE w:val="0"/>
        <w:autoSpaceDN w:val="0"/>
        <w:adjustRightInd w:val="0"/>
        <w:snapToGrid w:val="0"/>
        <w:spacing w:before="68" w:line="310" w:lineRule="exact"/>
        <w:ind w:left="4223"/>
        <w:jc w:val="left"/>
        <w:textAlignment w:val="baseline"/>
        <w:outlineLvl w:val="0"/>
        <w:rPr>
          <w:rFonts w:ascii="黑体" w:hAnsi="黑体" w:eastAsia="黑体" w:cs="黑体"/>
          <w:snapToGrid w:val="0"/>
          <w:color w:val="000000"/>
          <w:kern w:val="0"/>
          <w:szCs w:val="21"/>
        </w:rPr>
      </w:pPr>
      <w:bookmarkStart w:id="64" w:name="_Toc11856"/>
      <w:bookmarkStart w:id="65" w:name="_Toc4332"/>
      <w:r>
        <w:rPr>
          <w:rFonts w:ascii="黑体" w:hAnsi="黑体" w:eastAsia="黑体" w:cs="黑体"/>
          <w:snapToGrid w:val="0"/>
          <w:color w:val="000000"/>
          <w:spacing w:val="-3"/>
          <w:kern w:val="0"/>
          <w:position w:val="7"/>
          <w:szCs w:val="21"/>
        </w:rPr>
        <w:t>附</w:t>
      </w:r>
      <w:r>
        <w:rPr>
          <w:rFonts w:ascii="黑体" w:hAnsi="黑体" w:eastAsia="黑体" w:cs="黑体"/>
          <w:snapToGrid w:val="0"/>
          <w:color w:val="000000"/>
          <w:spacing w:val="-2"/>
          <w:kern w:val="0"/>
          <w:position w:val="7"/>
          <w:szCs w:val="21"/>
        </w:rPr>
        <w:t xml:space="preserve">  录  A</w:t>
      </w:r>
      <w:bookmarkEnd w:id="64"/>
      <w:bookmarkEnd w:id="65"/>
    </w:p>
    <w:p w14:paraId="05A74212">
      <w:pPr>
        <w:widowControl/>
        <w:kinsoku w:val="0"/>
        <w:autoSpaceDE w:val="0"/>
        <w:autoSpaceDN w:val="0"/>
        <w:adjustRightInd w:val="0"/>
        <w:snapToGrid w:val="0"/>
        <w:spacing w:line="219" w:lineRule="auto"/>
        <w:ind w:left="396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11"/>
          <w:kern w:val="0"/>
          <w:szCs w:val="21"/>
        </w:rPr>
        <w:t>(</w:t>
      </w:r>
      <w:r>
        <w:rPr>
          <w:rFonts w:ascii="黑体" w:hAnsi="黑体" w:eastAsia="黑体" w:cs="黑体"/>
          <w:snapToGrid w:val="0"/>
          <w:color w:val="000000"/>
          <w:spacing w:val="10"/>
          <w:kern w:val="0"/>
          <w:szCs w:val="21"/>
        </w:rPr>
        <w:t>资料性附录)</w:t>
      </w:r>
    </w:p>
    <w:p w14:paraId="7602AAED">
      <w:pPr>
        <w:widowControl/>
        <w:kinsoku w:val="0"/>
        <w:autoSpaceDE w:val="0"/>
        <w:autoSpaceDN w:val="0"/>
        <w:adjustRightInd w:val="0"/>
        <w:snapToGrid w:val="0"/>
        <w:spacing w:before="68" w:line="310" w:lineRule="exact"/>
        <w:jc w:val="center"/>
        <w:textAlignment w:val="baseline"/>
        <w:rPr>
          <w:rFonts w:hint="eastAsia" w:ascii="黑体" w:hAnsi="黑体" w:eastAsia="黑体" w:cs="黑体"/>
          <w:snapToGrid w:val="0"/>
          <w:color w:val="000000"/>
          <w:spacing w:val="-3"/>
          <w:kern w:val="0"/>
          <w:position w:val="7"/>
          <w:szCs w:val="21"/>
          <w:lang w:val="en-US" w:eastAsia="zh-CN"/>
        </w:rPr>
      </w:pPr>
      <w:r>
        <w:rPr>
          <w:rFonts w:hint="eastAsia" w:ascii="黑体" w:hAnsi="黑体" w:eastAsia="黑体" w:cs="黑体"/>
          <w:snapToGrid w:val="0"/>
          <w:color w:val="000000"/>
          <w:spacing w:val="-3"/>
          <w:kern w:val="0"/>
          <w:position w:val="7"/>
          <w:szCs w:val="21"/>
          <w:lang w:val="en-US" w:eastAsia="zh-CN"/>
        </w:rPr>
        <w:t>申购验收流程记录</w:t>
      </w:r>
    </w:p>
    <w:p w14:paraId="54F3584B">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r>
        <w:rPr>
          <w:rFonts w:hint="eastAsia"/>
          <w:lang w:val="en-US" w:eastAsia="zh-CN"/>
        </w:rPr>
        <w:t>A.1申购验收流程记录</w:t>
      </w:r>
    </w:p>
    <w:p w14:paraId="7BCFDC6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3"/>
          <w:kern w:val="0"/>
          <w:position w:val="7"/>
          <w:szCs w:val="21"/>
          <w:lang w:val="en-US" w:eastAsia="zh-CN"/>
        </w:rPr>
      </w:pPr>
      <w:r>
        <w:rPr>
          <w:rFonts w:hint="eastAsia" w:ascii="黑体" w:hAnsi="黑体" w:eastAsia="黑体" w:cs="黑体"/>
          <w:snapToGrid w:val="0"/>
          <w:color w:val="000000"/>
          <w:spacing w:val="-3"/>
          <w:kern w:val="0"/>
          <w:position w:val="7"/>
          <w:szCs w:val="21"/>
          <w:lang w:val="en-US" w:eastAsia="zh-CN"/>
        </w:rPr>
        <w:t xml:space="preserve">   </w:t>
      </w:r>
      <w:r>
        <w:rPr>
          <w:rFonts w:hint="eastAsia" w:ascii="宋体" w:hAnsi="宋体" w:eastAsia="宋体" w:cs="宋体"/>
          <w:snapToGrid w:val="0"/>
          <w:color w:val="000000"/>
          <w:spacing w:val="-3"/>
          <w:kern w:val="0"/>
          <w:position w:val="7"/>
          <w:szCs w:val="21"/>
          <w:lang w:val="en-US" w:eastAsia="zh-CN"/>
        </w:rPr>
        <w:t>申购、验收单据记录明细如表</w:t>
      </w:r>
      <w:r>
        <w:rPr>
          <w:rFonts w:hint="default" w:ascii="Times New Roman" w:hAnsi="Times New Roman" w:eastAsia="宋体" w:cs="Times New Roman"/>
          <w:snapToGrid w:val="0"/>
          <w:color w:val="000000"/>
          <w:spacing w:val="-3"/>
          <w:kern w:val="0"/>
          <w:position w:val="7"/>
          <w:szCs w:val="21"/>
          <w:lang w:val="en-US" w:eastAsia="zh-CN"/>
        </w:rPr>
        <w:t>A.1</w:t>
      </w:r>
      <w:r>
        <w:rPr>
          <w:rFonts w:hint="eastAsia" w:ascii="宋体" w:hAnsi="宋体" w:eastAsia="宋体" w:cs="宋体"/>
          <w:snapToGrid w:val="0"/>
          <w:color w:val="000000"/>
          <w:spacing w:val="-3"/>
          <w:kern w:val="0"/>
          <w:position w:val="7"/>
          <w:szCs w:val="21"/>
          <w:lang w:val="en-US" w:eastAsia="zh-CN"/>
        </w:rPr>
        <w:t>所示。</w:t>
      </w:r>
    </w:p>
    <w:p w14:paraId="09077C8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Times New Roman" w:hAnsi="Times New Roman" w:eastAsia="宋体" w:cs="Times New Roman"/>
          <w:snapToGrid w:val="0"/>
          <w:color w:val="000000"/>
          <w:spacing w:val="17"/>
          <w:kern w:val="0"/>
          <w:szCs w:val="21"/>
          <w:lang w:val="en-US" w:eastAsia="zh-CN"/>
        </w:rPr>
      </w:pPr>
      <w:r>
        <w:rPr>
          <w:rFonts w:hint="default" w:ascii="Times New Roman" w:hAnsi="Times New Roman" w:eastAsia="宋体" w:cs="Times New Roman"/>
          <w:snapToGrid w:val="0"/>
          <w:color w:val="000000"/>
          <w:spacing w:val="17"/>
          <w:kern w:val="0"/>
          <w:szCs w:val="21"/>
          <w:lang w:val="en-US" w:eastAsia="zh-CN"/>
        </w:rPr>
        <w:t>表A.1申购、验收单记录表</w:t>
      </w:r>
    </w:p>
    <w:tbl>
      <w:tblPr>
        <w:tblStyle w:val="33"/>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1"/>
        <w:gridCol w:w="1043"/>
        <w:gridCol w:w="2016"/>
        <w:gridCol w:w="1476"/>
        <w:gridCol w:w="1116"/>
        <w:gridCol w:w="1477"/>
        <w:gridCol w:w="1117"/>
      </w:tblGrid>
      <w:tr w14:paraId="09A7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14:paraId="7C2C8AEB">
            <w:pPr>
              <w:spacing w:line="360" w:lineRule="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名称</w:t>
            </w:r>
          </w:p>
        </w:tc>
        <w:tc>
          <w:tcPr>
            <w:tcW w:w="675" w:type="pct"/>
            <w:tcBorders>
              <w:top w:val="single" w:color="000000" w:sz="4" w:space="0"/>
              <w:left w:val="single" w:color="000000" w:sz="4" w:space="0"/>
              <w:bottom w:val="single" w:color="000000" w:sz="4" w:space="0"/>
              <w:right w:val="single" w:color="000000" w:sz="4" w:space="0"/>
            </w:tcBorders>
            <w:noWrap/>
            <w:vAlign w:val="center"/>
          </w:tcPr>
          <w:p w14:paraId="2BD1A9EB">
            <w:pPr>
              <w:spacing w:line="360" w:lineRule="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生产商</w:t>
            </w:r>
          </w:p>
        </w:tc>
        <w:tc>
          <w:tcPr>
            <w:tcW w:w="949" w:type="pct"/>
            <w:tcBorders>
              <w:top w:val="single" w:color="000000" w:sz="4" w:space="0"/>
              <w:left w:val="single" w:color="000000" w:sz="4" w:space="0"/>
              <w:bottom w:val="single" w:color="000000" w:sz="4" w:space="0"/>
              <w:right w:val="single" w:color="000000" w:sz="4" w:space="0"/>
            </w:tcBorders>
            <w:noWrap/>
            <w:vAlign w:val="center"/>
          </w:tcPr>
          <w:p w14:paraId="38DC1C1D">
            <w:pPr>
              <w:spacing w:line="360" w:lineRule="auto"/>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型号规格及唯一性标识</w:t>
            </w: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63DD79E9">
            <w:pPr>
              <w:spacing w:line="360" w:lineRule="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购进数量及日期</w:t>
            </w: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6C2E5F68">
            <w:pPr>
              <w:spacing w:line="360" w:lineRule="auto"/>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申购人签字</w:t>
            </w: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025075EB">
            <w:pPr>
              <w:spacing w:line="360" w:lineRule="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验收数量及日期</w:t>
            </w: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0A892B0C">
            <w:pPr>
              <w:spacing w:line="360" w:lineRule="auto"/>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验收人签字</w:t>
            </w:r>
          </w:p>
        </w:tc>
      </w:tr>
      <w:tr w14:paraId="5D4F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14:paraId="0B125BFD">
            <w:pPr>
              <w:spacing w:line="360" w:lineRule="auto"/>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noWrap/>
            <w:vAlign w:val="center"/>
          </w:tcPr>
          <w:p w14:paraId="1C884101">
            <w:pPr>
              <w:spacing w:line="360" w:lineRule="auto"/>
              <w:rPr>
                <w:rFonts w:hint="eastAsia" w:ascii="宋体" w:hAnsi="宋体" w:eastAsia="宋体" w:cs="宋体"/>
                <w:i w:val="0"/>
                <w:iCs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noWrap/>
            <w:vAlign w:val="center"/>
          </w:tcPr>
          <w:p w14:paraId="05D8C11D">
            <w:pPr>
              <w:spacing w:line="360" w:lineRule="auto"/>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03151B41">
            <w:pPr>
              <w:spacing w:line="360" w:lineRule="auto"/>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7B7B387B">
            <w:pPr>
              <w:spacing w:line="360" w:lineRule="auto"/>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4AA0A9E8">
            <w:pPr>
              <w:spacing w:line="360" w:lineRule="auto"/>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28C435D7">
            <w:pPr>
              <w:spacing w:line="360" w:lineRule="auto"/>
              <w:rPr>
                <w:rFonts w:hint="eastAsia" w:ascii="宋体" w:hAnsi="宋体" w:eastAsia="宋体" w:cs="宋体"/>
                <w:i w:val="0"/>
                <w:iCs w:val="0"/>
                <w:color w:val="000000"/>
                <w:sz w:val="18"/>
                <w:szCs w:val="18"/>
                <w:u w:val="none"/>
              </w:rPr>
            </w:pPr>
          </w:p>
        </w:tc>
      </w:tr>
      <w:tr w14:paraId="16E3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14:paraId="1DABC4BB">
            <w:pPr>
              <w:spacing w:line="360" w:lineRule="auto"/>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noWrap/>
            <w:vAlign w:val="center"/>
          </w:tcPr>
          <w:p w14:paraId="1302F65E">
            <w:pPr>
              <w:spacing w:line="360" w:lineRule="auto"/>
              <w:rPr>
                <w:rFonts w:hint="eastAsia" w:ascii="宋体" w:hAnsi="宋体" w:eastAsia="宋体" w:cs="宋体"/>
                <w:i w:val="0"/>
                <w:iCs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noWrap/>
            <w:vAlign w:val="center"/>
          </w:tcPr>
          <w:p w14:paraId="4D137B14">
            <w:pPr>
              <w:spacing w:line="360" w:lineRule="auto"/>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729C4D04">
            <w:pPr>
              <w:spacing w:line="360" w:lineRule="auto"/>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5319ABE1">
            <w:pPr>
              <w:spacing w:line="360" w:lineRule="auto"/>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67BA8C34">
            <w:pPr>
              <w:spacing w:line="360" w:lineRule="auto"/>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0BE1BA83">
            <w:pPr>
              <w:spacing w:line="360" w:lineRule="auto"/>
              <w:rPr>
                <w:rFonts w:hint="eastAsia" w:ascii="宋体" w:hAnsi="宋体" w:eastAsia="宋体" w:cs="宋体"/>
                <w:i w:val="0"/>
                <w:iCs w:val="0"/>
                <w:color w:val="000000"/>
                <w:sz w:val="18"/>
                <w:szCs w:val="18"/>
                <w:u w:val="none"/>
              </w:rPr>
            </w:pPr>
          </w:p>
        </w:tc>
      </w:tr>
      <w:tr w14:paraId="4C5A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14:paraId="1E627800">
            <w:pPr>
              <w:spacing w:line="360" w:lineRule="auto"/>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noWrap/>
            <w:vAlign w:val="center"/>
          </w:tcPr>
          <w:p w14:paraId="71B1E6F7">
            <w:pPr>
              <w:spacing w:line="360" w:lineRule="auto"/>
              <w:rPr>
                <w:rFonts w:hint="eastAsia" w:ascii="宋体" w:hAnsi="宋体" w:eastAsia="宋体" w:cs="宋体"/>
                <w:i w:val="0"/>
                <w:iCs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noWrap/>
            <w:vAlign w:val="center"/>
          </w:tcPr>
          <w:p w14:paraId="6A6101BD">
            <w:pPr>
              <w:spacing w:line="360" w:lineRule="auto"/>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7A29E048">
            <w:pPr>
              <w:spacing w:line="360" w:lineRule="auto"/>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3BF833E5">
            <w:pPr>
              <w:spacing w:line="360" w:lineRule="auto"/>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57016D95">
            <w:pPr>
              <w:spacing w:line="360" w:lineRule="auto"/>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5B0FDE6F">
            <w:pPr>
              <w:spacing w:line="360" w:lineRule="auto"/>
              <w:rPr>
                <w:rFonts w:hint="eastAsia" w:ascii="宋体" w:hAnsi="宋体" w:eastAsia="宋体" w:cs="宋体"/>
                <w:i w:val="0"/>
                <w:iCs w:val="0"/>
                <w:color w:val="000000"/>
                <w:sz w:val="18"/>
                <w:szCs w:val="18"/>
                <w:u w:val="none"/>
              </w:rPr>
            </w:pPr>
          </w:p>
        </w:tc>
      </w:tr>
      <w:tr w14:paraId="1D1E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14:paraId="559542DF">
            <w:pPr>
              <w:spacing w:line="360" w:lineRule="auto"/>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noWrap/>
            <w:vAlign w:val="center"/>
          </w:tcPr>
          <w:p w14:paraId="50C38ECE">
            <w:pPr>
              <w:spacing w:line="360" w:lineRule="auto"/>
              <w:rPr>
                <w:rFonts w:hint="eastAsia" w:ascii="宋体" w:hAnsi="宋体" w:eastAsia="宋体" w:cs="宋体"/>
                <w:i w:val="0"/>
                <w:iCs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noWrap/>
            <w:vAlign w:val="center"/>
          </w:tcPr>
          <w:p w14:paraId="40A52D49">
            <w:pPr>
              <w:spacing w:line="360" w:lineRule="auto"/>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754B3C01">
            <w:pPr>
              <w:spacing w:line="360" w:lineRule="auto"/>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71F618A5">
            <w:pPr>
              <w:spacing w:line="360" w:lineRule="auto"/>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2C9BDE19">
            <w:pPr>
              <w:spacing w:line="360" w:lineRule="auto"/>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6BB1DAAF">
            <w:pPr>
              <w:spacing w:line="360" w:lineRule="auto"/>
              <w:rPr>
                <w:rFonts w:hint="eastAsia" w:ascii="宋体" w:hAnsi="宋体" w:eastAsia="宋体" w:cs="宋体"/>
                <w:i w:val="0"/>
                <w:iCs w:val="0"/>
                <w:color w:val="000000"/>
                <w:sz w:val="18"/>
                <w:szCs w:val="18"/>
                <w:u w:val="none"/>
              </w:rPr>
            </w:pPr>
          </w:p>
        </w:tc>
      </w:tr>
      <w:tr w14:paraId="5077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14:paraId="4A0B0ACE">
            <w:pPr>
              <w:spacing w:line="360" w:lineRule="auto"/>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noWrap/>
            <w:vAlign w:val="center"/>
          </w:tcPr>
          <w:p w14:paraId="03B17B78">
            <w:pPr>
              <w:spacing w:line="360" w:lineRule="auto"/>
              <w:rPr>
                <w:rFonts w:hint="eastAsia" w:ascii="宋体" w:hAnsi="宋体" w:eastAsia="宋体" w:cs="宋体"/>
                <w:i w:val="0"/>
                <w:iCs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noWrap/>
            <w:vAlign w:val="center"/>
          </w:tcPr>
          <w:p w14:paraId="5A12EADE">
            <w:pPr>
              <w:spacing w:line="360" w:lineRule="auto"/>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33E3E317">
            <w:pPr>
              <w:spacing w:line="360" w:lineRule="auto"/>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4F5B8030">
            <w:pPr>
              <w:spacing w:line="360" w:lineRule="auto"/>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6664C0E8">
            <w:pPr>
              <w:spacing w:line="360" w:lineRule="auto"/>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16193AEF">
            <w:pPr>
              <w:spacing w:line="360" w:lineRule="auto"/>
              <w:rPr>
                <w:rFonts w:hint="eastAsia" w:ascii="宋体" w:hAnsi="宋体" w:eastAsia="宋体" w:cs="宋体"/>
                <w:i w:val="0"/>
                <w:iCs w:val="0"/>
                <w:color w:val="000000"/>
                <w:sz w:val="18"/>
                <w:szCs w:val="18"/>
                <w:u w:val="none"/>
              </w:rPr>
            </w:pPr>
          </w:p>
        </w:tc>
      </w:tr>
      <w:tr w14:paraId="5FC7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14:paraId="5FFA7411">
            <w:pPr>
              <w:spacing w:line="360" w:lineRule="auto"/>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noWrap/>
            <w:vAlign w:val="center"/>
          </w:tcPr>
          <w:p w14:paraId="4D9D90DA">
            <w:pPr>
              <w:spacing w:line="360" w:lineRule="auto"/>
              <w:rPr>
                <w:rFonts w:hint="eastAsia" w:ascii="宋体" w:hAnsi="宋体" w:eastAsia="宋体" w:cs="宋体"/>
                <w:i w:val="0"/>
                <w:iCs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noWrap/>
            <w:vAlign w:val="center"/>
          </w:tcPr>
          <w:p w14:paraId="7EB62800">
            <w:pPr>
              <w:spacing w:line="360" w:lineRule="auto"/>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1F136E48">
            <w:pPr>
              <w:spacing w:line="360" w:lineRule="auto"/>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19170F8B">
            <w:pPr>
              <w:spacing w:line="360" w:lineRule="auto"/>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1C76B89D">
            <w:pPr>
              <w:spacing w:line="360" w:lineRule="auto"/>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5B426C65">
            <w:pPr>
              <w:spacing w:line="360" w:lineRule="auto"/>
              <w:rPr>
                <w:rFonts w:hint="eastAsia" w:ascii="宋体" w:hAnsi="宋体" w:eastAsia="宋体" w:cs="宋体"/>
                <w:i w:val="0"/>
                <w:iCs w:val="0"/>
                <w:color w:val="000000"/>
                <w:sz w:val="18"/>
                <w:szCs w:val="18"/>
                <w:u w:val="none"/>
              </w:rPr>
            </w:pPr>
          </w:p>
        </w:tc>
      </w:tr>
      <w:tr w14:paraId="5919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14:paraId="72425F57">
            <w:pPr>
              <w:spacing w:line="360" w:lineRule="auto"/>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noWrap/>
            <w:vAlign w:val="center"/>
          </w:tcPr>
          <w:p w14:paraId="45961D53">
            <w:pPr>
              <w:spacing w:line="360" w:lineRule="auto"/>
              <w:rPr>
                <w:rFonts w:hint="eastAsia" w:ascii="宋体" w:hAnsi="宋体" w:eastAsia="宋体" w:cs="宋体"/>
                <w:i w:val="0"/>
                <w:iCs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noWrap/>
            <w:vAlign w:val="center"/>
          </w:tcPr>
          <w:p w14:paraId="5E3F0BBE">
            <w:pPr>
              <w:spacing w:line="360" w:lineRule="auto"/>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32E68588">
            <w:pPr>
              <w:spacing w:line="360" w:lineRule="auto"/>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784C6CC2">
            <w:pPr>
              <w:spacing w:line="360" w:lineRule="auto"/>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2B9FD240">
            <w:pPr>
              <w:spacing w:line="360" w:lineRule="auto"/>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767F0C72">
            <w:pPr>
              <w:spacing w:line="360" w:lineRule="auto"/>
              <w:rPr>
                <w:rFonts w:hint="eastAsia" w:ascii="宋体" w:hAnsi="宋体" w:eastAsia="宋体" w:cs="宋体"/>
                <w:i w:val="0"/>
                <w:iCs w:val="0"/>
                <w:color w:val="000000"/>
                <w:sz w:val="18"/>
                <w:szCs w:val="18"/>
                <w:u w:val="none"/>
              </w:rPr>
            </w:pPr>
          </w:p>
        </w:tc>
      </w:tr>
    </w:tbl>
    <w:p w14:paraId="194454BF">
      <w:pPr>
        <w:jc w:val="center"/>
        <w:rPr>
          <w:rFonts w:hint="default" w:ascii="黑体" w:hAnsi="黑体" w:eastAsia="黑体" w:cs="黑体"/>
          <w:snapToGrid w:val="0"/>
          <w:color w:val="000000"/>
          <w:spacing w:val="17"/>
          <w:kern w:val="0"/>
          <w:szCs w:val="21"/>
          <w:lang w:val="en-US" w:eastAsia="zh-CN"/>
        </w:rPr>
      </w:pPr>
    </w:p>
    <w:p w14:paraId="28E55CEC">
      <w:pPr>
        <w:widowControl/>
        <w:kinsoku w:val="0"/>
        <w:autoSpaceDE w:val="0"/>
        <w:autoSpaceDN w:val="0"/>
        <w:adjustRightInd w:val="0"/>
        <w:snapToGrid w:val="0"/>
        <w:spacing w:before="68" w:line="310" w:lineRule="exact"/>
        <w:ind w:left="4223"/>
        <w:jc w:val="left"/>
        <w:textAlignment w:val="baseline"/>
        <w:rPr>
          <w:rFonts w:ascii="黑体" w:hAnsi="黑体" w:eastAsia="黑体" w:cs="黑体"/>
          <w:snapToGrid w:val="0"/>
          <w:color w:val="000000"/>
          <w:spacing w:val="-3"/>
          <w:kern w:val="0"/>
          <w:position w:val="7"/>
          <w:szCs w:val="21"/>
        </w:rPr>
        <w:sectPr>
          <w:pgSz w:w="11907" w:h="16839"/>
          <w:pgMar w:top="1418" w:right="1134" w:bottom="1134" w:left="1418" w:header="1418" w:footer="851" w:gutter="0"/>
          <w:pgNumType w:start="1"/>
          <w:cols w:space="720" w:num="1"/>
          <w:docGrid w:type="lines" w:linePitch="312" w:charSpace="0"/>
        </w:sectPr>
      </w:pPr>
    </w:p>
    <w:p w14:paraId="0BA32E1E">
      <w:pPr>
        <w:widowControl/>
        <w:kinsoku w:val="0"/>
        <w:autoSpaceDE w:val="0"/>
        <w:autoSpaceDN w:val="0"/>
        <w:adjustRightInd w:val="0"/>
        <w:snapToGrid w:val="0"/>
        <w:spacing w:before="68" w:line="310" w:lineRule="exact"/>
        <w:jc w:val="center"/>
        <w:textAlignment w:val="baseline"/>
        <w:outlineLvl w:val="0"/>
        <w:rPr>
          <w:rFonts w:ascii="黑体" w:hAnsi="黑体" w:eastAsia="黑体" w:cs="黑体"/>
          <w:snapToGrid w:val="0"/>
          <w:color w:val="000000"/>
          <w:kern w:val="0"/>
          <w:szCs w:val="21"/>
        </w:rPr>
      </w:pPr>
      <w:bookmarkStart w:id="66" w:name="_Toc31328"/>
      <w:bookmarkStart w:id="67" w:name="_Toc20878"/>
      <w:r>
        <w:rPr>
          <w:rFonts w:ascii="黑体" w:hAnsi="黑体" w:eastAsia="黑体" w:cs="黑体"/>
          <w:snapToGrid w:val="0"/>
          <w:color w:val="000000"/>
          <w:spacing w:val="-2"/>
          <w:kern w:val="0"/>
          <w:position w:val="7"/>
          <w:szCs w:val="21"/>
        </w:rPr>
        <w:t>附</w:t>
      </w:r>
      <w:r>
        <w:rPr>
          <w:rFonts w:ascii="黑体" w:hAnsi="黑体" w:eastAsia="黑体" w:cs="黑体"/>
          <w:snapToGrid w:val="0"/>
          <w:color w:val="000000"/>
          <w:spacing w:val="-1"/>
          <w:kern w:val="0"/>
          <w:position w:val="7"/>
          <w:szCs w:val="21"/>
        </w:rPr>
        <w:t xml:space="preserve">  录  B</w:t>
      </w:r>
      <w:bookmarkEnd w:id="66"/>
      <w:bookmarkEnd w:id="67"/>
    </w:p>
    <w:p w14:paraId="1EE4F530">
      <w:pPr>
        <w:widowControl/>
        <w:kinsoku w:val="0"/>
        <w:autoSpaceDE w:val="0"/>
        <w:autoSpaceDN w:val="0"/>
        <w:adjustRightInd w:val="0"/>
        <w:snapToGrid w:val="0"/>
        <w:spacing w:line="219" w:lineRule="auto"/>
        <w:ind w:left="3955"/>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11"/>
          <w:kern w:val="0"/>
          <w:szCs w:val="21"/>
        </w:rPr>
        <w:t>(</w:t>
      </w:r>
      <w:r>
        <w:rPr>
          <w:rFonts w:ascii="黑体" w:hAnsi="黑体" w:eastAsia="黑体" w:cs="黑体"/>
          <w:snapToGrid w:val="0"/>
          <w:color w:val="000000"/>
          <w:spacing w:val="10"/>
          <w:kern w:val="0"/>
          <w:szCs w:val="21"/>
        </w:rPr>
        <w:t>资料性附录)</w:t>
      </w:r>
    </w:p>
    <w:p w14:paraId="4350AFDA">
      <w:pPr>
        <w:widowControl/>
        <w:kinsoku w:val="0"/>
        <w:autoSpaceDE w:val="0"/>
        <w:autoSpaceDN w:val="0"/>
        <w:adjustRightInd w:val="0"/>
        <w:snapToGrid w:val="0"/>
        <w:spacing w:before="68" w:line="310" w:lineRule="exact"/>
        <w:jc w:val="center"/>
        <w:textAlignment w:val="baseline"/>
        <w:rPr>
          <w:rFonts w:hint="eastAsia" w:ascii="黑体" w:hAnsi="黑体" w:eastAsia="黑体" w:cs="黑体"/>
          <w:snapToGrid w:val="0"/>
          <w:color w:val="000000"/>
          <w:spacing w:val="-3"/>
          <w:kern w:val="0"/>
          <w:position w:val="7"/>
          <w:szCs w:val="21"/>
          <w:lang w:val="en-US" w:eastAsia="zh-CN"/>
        </w:rPr>
      </w:pPr>
      <w:r>
        <w:rPr>
          <w:rFonts w:hint="eastAsia" w:ascii="黑体" w:hAnsi="黑体" w:eastAsia="黑体" w:cs="黑体"/>
          <w:snapToGrid w:val="0"/>
          <w:color w:val="000000"/>
          <w:spacing w:val="-3"/>
          <w:kern w:val="0"/>
          <w:position w:val="7"/>
          <w:szCs w:val="21"/>
          <w:lang w:val="en-US" w:eastAsia="zh-CN"/>
        </w:rPr>
        <w:t>标准品期间核查及领用盘存记录</w:t>
      </w:r>
    </w:p>
    <w:p w14:paraId="65B49C4D">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r>
        <w:rPr>
          <w:rFonts w:hint="eastAsia"/>
          <w:lang w:val="en-US" w:eastAsia="zh-CN"/>
        </w:rPr>
        <w:t>B.1标准品期间核查的参考方法</w:t>
      </w:r>
    </w:p>
    <w:p w14:paraId="5569A8FC">
      <w:pPr>
        <w:keepNext w:val="0"/>
        <w:keepLines w:val="0"/>
        <w:pageBreakBefore w:val="0"/>
        <w:widowControl/>
        <w:kinsoku w:val="0"/>
        <w:wordWrap/>
        <w:overflowPunct/>
        <w:topLinePunct w:val="0"/>
        <w:autoSpaceDE w:val="0"/>
        <w:autoSpaceDN w:val="0"/>
        <w:bidi w:val="0"/>
        <w:adjustRightInd w:val="0"/>
        <w:snapToGrid w:val="0"/>
        <w:spacing w:line="240" w:lineRule="auto"/>
        <w:ind w:firstLine="408" w:firstLineChars="200"/>
        <w:jc w:val="left"/>
        <w:textAlignment w:val="baseline"/>
        <w:rPr>
          <w:rFonts w:hint="eastAsia" w:ascii="宋体" w:hAnsi="宋体" w:eastAsia="宋体" w:cs="宋体"/>
          <w:snapToGrid w:val="0"/>
          <w:color w:val="000000"/>
          <w:spacing w:val="-3"/>
          <w:kern w:val="0"/>
          <w:position w:val="7"/>
          <w:szCs w:val="21"/>
          <w:lang w:val="en-US" w:eastAsia="zh-CN"/>
        </w:rPr>
      </w:pPr>
      <w:r>
        <w:rPr>
          <w:rFonts w:hint="eastAsia" w:ascii="宋体" w:hAnsi="宋体" w:eastAsia="宋体" w:cs="宋体"/>
          <w:snapToGrid w:val="0"/>
          <w:color w:val="000000"/>
          <w:spacing w:val="-3"/>
          <w:kern w:val="0"/>
          <w:position w:val="7"/>
          <w:szCs w:val="21"/>
          <w:lang w:val="en-US" w:eastAsia="zh-CN"/>
        </w:rPr>
        <w:t>采用有证标准品稀释配制不同梯度标准曲线工作溶液，用待核查的标准品配制浓度适当的单点溶液，选取适当的检测设备重复测定多次，结合的待核查溶液浓度与标准曲线计算被核查标准物质浓度平均值，计算标准偏差，依托t检验法进行数据分析，与t（0.05）进行比较，分析被核查标准品是否具有显著性差异。计算公式如下：</w:t>
      </w:r>
    </w:p>
    <w:p w14:paraId="789FF7EF">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微软雅黑" w:hAnsi="微软雅黑" w:eastAsia="微软雅黑" w:cs="微软雅黑"/>
          <w:i w:val="0"/>
          <w:snapToGrid w:val="0"/>
          <w:color w:val="000000"/>
          <w:spacing w:val="-3"/>
          <w:kern w:val="0"/>
          <w:position w:val="7"/>
          <w:szCs w:val="21"/>
          <w:lang w:val="en-US" w:eastAsia="zh-CN"/>
        </w:rPr>
      </w:pPr>
      <w:r>
        <w:rPr>
          <w:rFonts w:hint="eastAsia" w:hAnsi="宋体" w:cs="宋体"/>
          <w:i w:val="0"/>
          <w:snapToGrid w:val="0"/>
          <w:color w:val="000000"/>
          <w:spacing w:val="-3"/>
          <w:kern w:val="0"/>
          <w:position w:val="7"/>
          <w:szCs w:val="21"/>
          <w:lang w:val="en-US" w:eastAsia="zh-CN"/>
        </w:rPr>
        <w:t xml:space="preserve">                                    </w:t>
      </w:r>
      <w:r>
        <w:rPr>
          <w:rFonts w:hint="eastAsia" w:hAnsi="宋体" w:cs="宋体"/>
          <w:i w:val="0"/>
          <w:snapToGrid w:val="0"/>
          <w:color w:val="000000"/>
          <w:spacing w:val="0"/>
          <w:kern w:val="0"/>
          <w:position w:val="0"/>
          <w:sz w:val="21"/>
          <w:szCs w:val="21"/>
          <w:lang w:val="en-US" w:eastAsia="zh-CN"/>
        </w:rPr>
        <w:t xml:space="preserve"> </w:t>
      </w:r>
      <m:oMath>
        <m:r>
          <m:rPr>
            <m:sty m:val="p"/>
          </m:rPr>
          <w:rPr>
            <w:rFonts w:hint="default" w:ascii="Cambria Math" w:hAnsi="Cambria Math" w:cs="Times New Roman"/>
            <w:snapToGrid w:val="0"/>
            <w:color w:val="000000"/>
            <w:spacing w:val="0"/>
            <w:kern w:val="0"/>
            <w:position w:val="0"/>
            <w:sz w:val="21"/>
            <w:szCs w:val="21"/>
            <w:lang w:val="en-US" w:eastAsia="zh-CN"/>
          </w:rPr>
          <m:t>T</m:t>
        </m:r>
        <m:r>
          <m:rPr>
            <m:sty m:val="p"/>
          </m:rPr>
          <w:rPr>
            <w:rFonts w:ascii="Cambria Math" w:hAnsi="Cambria Math" w:cs="Times New Roman"/>
            <w:snapToGrid w:val="0"/>
            <w:color w:val="000000"/>
            <w:spacing w:val="0"/>
            <w:kern w:val="0"/>
            <w:position w:val="0"/>
            <w:sz w:val="21"/>
            <w:szCs w:val="21"/>
            <w:lang w:val="en-US"/>
          </w:rPr>
          <m:t>=</m:t>
        </m:r>
        <m:f>
          <m:fPr>
            <m:ctrlPr>
              <w:rPr>
                <w:rFonts w:ascii="Cambria Math" w:hAnsi="Cambria Math" w:cs="Times New Roman"/>
                <w:i w:val="0"/>
                <w:snapToGrid w:val="0"/>
                <w:color w:val="000000"/>
                <w:spacing w:val="0"/>
                <w:kern w:val="0"/>
                <w:position w:val="0"/>
                <w:sz w:val="21"/>
                <w:szCs w:val="21"/>
                <w:lang w:val="en-US"/>
              </w:rPr>
            </m:ctrlPr>
          </m:fPr>
          <m:num>
            <m:sSub>
              <m:sSubPr>
                <m:ctrlPr>
                  <w:rPr>
                    <w:rFonts w:ascii="Cambria Math" w:hAnsi="Cambria Math" w:cs="Times New Roman"/>
                    <w:i w:val="0"/>
                    <w:snapToGrid w:val="0"/>
                    <w:color w:val="000000"/>
                    <w:spacing w:val="0"/>
                    <w:kern w:val="0"/>
                    <w:position w:val="0"/>
                    <w:sz w:val="21"/>
                    <w:szCs w:val="21"/>
                    <w:lang w:val="en-US"/>
                  </w:rPr>
                </m:ctrlPr>
              </m:sSubPr>
              <m:e>
                <m:r>
                  <m:rPr>
                    <m:sty m:val="p"/>
                  </m:rPr>
                  <w:rPr>
                    <w:rFonts w:hint="default" w:ascii="Cambria Math" w:hAnsi="Cambria Math" w:cs="Times New Roman"/>
                    <w:snapToGrid w:val="0"/>
                    <w:color w:val="000000"/>
                    <w:spacing w:val="0"/>
                    <w:kern w:val="0"/>
                    <w:position w:val="0"/>
                    <w:sz w:val="21"/>
                    <w:szCs w:val="21"/>
                    <w:lang w:val="en-US" w:eastAsia="zh-CN"/>
                  </w:rPr>
                  <m:t>C</m:t>
                </m:r>
                <m:ctrlPr>
                  <w:rPr>
                    <w:rFonts w:ascii="Cambria Math" w:hAnsi="Cambria Math" w:cs="Times New Roman"/>
                    <w:i w:val="0"/>
                    <w:snapToGrid w:val="0"/>
                    <w:color w:val="000000"/>
                    <w:spacing w:val="0"/>
                    <w:kern w:val="0"/>
                    <w:position w:val="0"/>
                    <w:sz w:val="21"/>
                    <w:szCs w:val="21"/>
                    <w:lang w:val="en-US"/>
                  </w:rPr>
                </m:ctrlPr>
              </m:e>
              <m:sub>
                <m:r>
                  <m:rPr>
                    <m:sty m:val="p"/>
                  </m:rPr>
                  <w:rPr>
                    <w:rFonts w:hint="default" w:ascii="Cambria Math" w:hAnsi="Cambria Math" w:cs="Times New Roman"/>
                    <w:snapToGrid w:val="0"/>
                    <w:color w:val="000000"/>
                    <w:spacing w:val="0"/>
                    <w:kern w:val="0"/>
                    <w:position w:val="0"/>
                    <w:sz w:val="21"/>
                    <w:szCs w:val="21"/>
                    <w:lang w:val="en-US" w:eastAsia="zh-CN"/>
                  </w:rPr>
                  <m:t>1</m:t>
                </m:r>
                <m:ctrlPr>
                  <w:rPr>
                    <w:rFonts w:ascii="Cambria Math" w:hAnsi="Cambria Math" w:cs="Times New Roman"/>
                    <w:i w:val="0"/>
                    <w:snapToGrid w:val="0"/>
                    <w:color w:val="000000"/>
                    <w:spacing w:val="0"/>
                    <w:kern w:val="0"/>
                    <w:position w:val="0"/>
                    <w:sz w:val="21"/>
                    <w:szCs w:val="21"/>
                    <w:lang w:val="en-US"/>
                  </w:rPr>
                </m:ctrlPr>
              </m:sub>
            </m:sSub>
            <m:r>
              <m:rPr>
                <m:sty m:val="p"/>
              </m:rPr>
              <w:rPr>
                <w:rFonts w:hint="default" w:ascii="Cambria Math" w:hAnsi="Cambria Math" w:cs="Times New Roman"/>
                <w:snapToGrid w:val="0"/>
                <w:color w:val="000000"/>
                <w:spacing w:val="0"/>
                <w:kern w:val="0"/>
                <w:position w:val="0"/>
                <w:sz w:val="21"/>
                <w:szCs w:val="21"/>
                <w:lang w:val="en-US" w:eastAsia="zh-CN"/>
              </w:rPr>
              <m:t>−C</m:t>
            </m:r>
            <m:ctrlPr>
              <w:rPr>
                <w:rFonts w:ascii="Cambria Math" w:hAnsi="Cambria Math" w:cs="Times New Roman"/>
                <w:i w:val="0"/>
                <w:snapToGrid w:val="0"/>
                <w:color w:val="000000"/>
                <w:spacing w:val="0"/>
                <w:kern w:val="0"/>
                <w:position w:val="0"/>
                <w:sz w:val="21"/>
                <w:szCs w:val="21"/>
                <w:lang w:val="en-US"/>
              </w:rPr>
            </m:ctrlPr>
          </m:num>
          <m:den>
            <m:r>
              <m:rPr>
                <m:sty m:val="p"/>
              </m:rPr>
              <w:rPr>
                <w:rFonts w:hint="default" w:ascii="Cambria Math" w:hAnsi="Cambria Math" w:cs="Times New Roman"/>
                <w:snapToGrid w:val="0"/>
                <w:color w:val="000000"/>
                <w:spacing w:val="0"/>
                <w:kern w:val="0"/>
                <w:position w:val="0"/>
                <w:sz w:val="21"/>
                <w:szCs w:val="21"/>
                <w:lang w:val="en-US" w:eastAsia="zh-CN"/>
              </w:rPr>
              <m:t>S</m:t>
            </m:r>
            <m:ctrlPr>
              <w:rPr>
                <w:rFonts w:ascii="Cambria Math" w:hAnsi="Cambria Math" w:cs="Times New Roman"/>
                <w:i w:val="0"/>
                <w:snapToGrid w:val="0"/>
                <w:color w:val="000000"/>
                <w:spacing w:val="0"/>
                <w:kern w:val="0"/>
                <w:position w:val="0"/>
                <w:sz w:val="21"/>
                <w:szCs w:val="21"/>
                <w:lang w:val="en-US"/>
              </w:rPr>
            </m:ctrlPr>
          </m:den>
        </m:f>
        <m:r>
          <m:rPr>
            <m:sty m:val="p"/>
          </m:rPr>
          <w:rPr>
            <w:rFonts w:hint="default" w:ascii="Cambria Math" w:hAnsi="Cambria Math" w:cs="Times New Roman"/>
            <w:snapToGrid w:val="0"/>
            <w:color w:val="000000"/>
            <w:spacing w:val="0"/>
            <w:kern w:val="0"/>
            <w:position w:val="0"/>
            <w:sz w:val="21"/>
            <w:szCs w:val="21"/>
            <w:lang w:val="en-US"/>
          </w:rPr>
          <m:t>×</m:t>
        </m:r>
        <m:rad>
          <m:radPr>
            <m:degHide m:val="1"/>
            <m:ctrlPr>
              <w:rPr>
                <w:rFonts w:hint="default" w:ascii="Cambria Math" w:hAnsi="Cambria Math" w:cs="Times New Roman"/>
                <w:i w:val="0"/>
                <w:snapToGrid w:val="0"/>
                <w:color w:val="000000"/>
                <w:spacing w:val="0"/>
                <w:kern w:val="0"/>
                <w:position w:val="0"/>
                <w:sz w:val="21"/>
                <w:szCs w:val="21"/>
                <w:lang w:val="en-US"/>
              </w:rPr>
            </m:ctrlPr>
          </m:radPr>
          <m:deg>
            <m:ctrlPr>
              <w:rPr>
                <w:rFonts w:hint="default" w:ascii="Cambria Math" w:hAnsi="Cambria Math" w:cs="Times New Roman"/>
                <w:i w:val="0"/>
                <w:snapToGrid w:val="0"/>
                <w:color w:val="000000"/>
                <w:spacing w:val="0"/>
                <w:kern w:val="0"/>
                <w:position w:val="0"/>
                <w:sz w:val="21"/>
                <w:szCs w:val="21"/>
                <w:lang w:val="en-US"/>
              </w:rPr>
            </m:ctrlPr>
          </m:deg>
          <m:e>
            <m:r>
              <m:rPr>
                <m:sty m:val="p"/>
              </m:rPr>
              <w:rPr>
                <w:rFonts w:hint="default" w:ascii="Cambria Math" w:hAnsi="Cambria Math" w:cs="Times New Roman"/>
                <w:snapToGrid w:val="0"/>
                <w:color w:val="000000"/>
                <w:spacing w:val="0"/>
                <w:kern w:val="0"/>
                <w:position w:val="0"/>
                <w:sz w:val="21"/>
                <w:szCs w:val="21"/>
                <w:lang w:val="en-US" w:eastAsia="zh-CN"/>
              </w:rPr>
              <m:t>n</m:t>
            </m:r>
            <m:ctrlPr>
              <w:rPr>
                <w:rFonts w:hint="default" w:ascii="Cambria Math" w:hAnsi="Cambria Math" w:cs="Times New Roman"/>
                <w:i w:val="0"/>
                <w:snapToGrid w:val="0"/>
                <w:color w:val="000000"/>
                <w:spacing w:val="0"/>
                <w:kern w:val="0"/>
                <w:position w:val="0"/>
                <w:sz w:val="21"/>
                <w:szCs w:val="21"/>
                <w:lang w:val="en-US"/>
              </w:rPr>
            </m:ctrlPr>
          </m:e>
        </m:rad>
      </m:oMath>
      <w:r>
        <w:rPr>
          <w:rFonts w:hint="eastAsia" w:ascii="微软雅黑" w:hAnsi="微软雅黑" w:eastAsia="微软雅黑" w:cs="微软雅黑"/>
          <w:i w:val="0"/>
          <w:snapToGrid w:val="0"/>
          <w:color w:val="000000"/>
          <w:spacing w:val="-3"/>
          <w:kern w:val="0"/>
          <w:position w:val="7"/>
          <w:szCs w:val="21"/>
          <w:lang w:val="en-US" w:eastAsia="zh-CN"/>
        </w:rPr>
        <w:t xml:space="preserve"> ………………………………………………………………（1）</w:t>
      </w:r>
    </w:p>
    <w:p w14:paraId="1DEF361E">
      <w:pPr>
        <w:widowControl/>
        <w:kinsoku w:val="0"/>
        <w:autoSpaceDE w:val="0"/>
        <w:autoSpaceDN w:val="0"/>
        <w:adjustRightInd w:val="0"/>
        <w:snapToGrid w:val="0"/>
        <w:spacing w:before="68" w:line="310" w:lineRule="exact"/>
        <w:jc w:val="left"/>
        <w:textAlignment w:val="baseline"/>
        <w:rPr>
          <w:rFonts w:hint="eastAsia" w:hAnsi="Cambria Math" w:cs="Cambria Math"/>
          <w:i w:val="0"/>
          <w:snapToGrid w:val="0"/>
          <w:color w:val="000000"/>
          <w:spacing w:val="-3"/>
          <w:kern w:val="0"/>
          <w:position w:val="7"/>
          <w:szCs w:val="21"/>
          <w:lang w:val="en-US" w:eastAsia="zh-CN"/>
        </w:rPr>
      </w:pPr>
    </w:p>
    <w:p w14:paraId="163D3437">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firstLine="408" w:firstLineChars="200"/>
        <w:jc w:val="left"/>
        <w:textAlignment w:val="baseline"/>
        <w:rPr>
          <w:rFonts w:hint="eastAsia" w:hAnsi="Cambria Math" w:cs="Cambria Math"/>
          <w:i w:val="0"/>
          <w:snapToGrid w:val="0"/>
          <w:color w:val="000000"/>
          <w:spacing w:val="-3"/>
          <w:kern w:val="0"/>
          <w:position w:val="7"/>
          <w:szCs w:val="21"/>
          <w:lang w:val="en-US" w:eastAsia="zh-CN"/>
        </w:rPr>
      </w:pPr>
      <w:r>
        <w:rPr>
          <w:rFonts w:hint="eastAsia" w:hAnsi="Cambria Math" w:cs="Cambria Math"/>
          <w:i w:val="0"/>
          <w:snapToGrid w:val="0"/>
          <w:color w:val="000000"/>
          <w:spacing w:val="-3"/>
          <w:kern w:val="0"/>
          <w:position w:val="7"/>
          <w:szCs w:val="21"/>
          <w:lang w:val="en-US" w:eastAsia="zh-CN"/>
        </w:rPr>
        <w:t>式中：</w:t>
      </w:r>
    </w:p>
    <w:p w14:paraId="0ADBA883">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center"/>
        <w:rPr>
          <w:rFonts w:hint="eastAsia"/>
          <w:lang w:val="en-US" w:eastAsia="zh-CN"/>
        </w:rPr>
      </w:pPr>
      <w:r>
        <w:rPr>
          <w:rFonts w:hint="default" w:ascii="Times New Roman" w:hAnsi="Times New Roman" w:cs="Times New Roman"/>
          <w:lang w:val="en-US" w:eastAsia="zh-CN"/>
        </w:rPr>
        <w:t>T</w:t>
      </w:r>
      <w:r>
        <w:rPr>
          <w:rFonts w:ascii="Arial" w:hAnsi="Arial" w:cs="Arial"/>
        </w:rPr>
        <w:t>——</w:t>
      </w:r>
      <w:r>
        <w:rPr>
          <w:rFonts w:hint="eastAsia"/>
          <w:lang w:val="en-US" w:eastAsia="zh-CN"/>
        </w:rPr>
        <w:t>统计量，用于比较两组数据之间平均值差异是否显著；</w:t>
      </w:r>
    </w:p>
    <w:p w14:paraId="13F1FE49">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center"/>
        <w:rPr>
          <w:rFonts w:hint="eastAsia"/>
          <w:lang w:val="en-US" w:eastAsia="zh-CN"/>
        </w:rPr>
      </w:pPr>
      <w:r>
        <w:rPr>
          <w:rFonts w:hint="default" w:ascii="Times New Roman" w:hAnsi="Times New Roman" w:cs="Times New Roman"/>
          <w:lang w:val="en-US" w:eastAsia="zh-CN"/>
        </w:rPr>
        <w:t>n</w:t>
      </w:r>
      <w:r>
        <w:rPr>
          <w:rFonts w:ascii="Arial" w:hAnsi="Arial" w:cs="Arial"/>
        </w:rPr>
        <w:t>——</w:t>
      </w:r>
      <w:r>
        <w:rPr>
          <w:rFonts w:hint="eastAsia"/>
          <w:lang w:val="en-US" w:eastAsia="zh-CN"/>
        </w:rPr>
        <w:t>备重复测定次数；</w:t>
      </w:r>
    </w:p>
    <w:p w14:paraId="6FB45681">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center"/>
        <w:rPr>
          <w:rFonts w:hint="eastAsia"/>
          <w:lang w:val="en-US" w:eastAsia="zh-CN"/>
        </w:rPr>
      </w:pPr>
      <w:r>
        <w:rPr>
          <w:rFonts w:hint="default" w:ascii="Times New Roman" w:hAnsi="Times New Roman" w:cs="Times New Roman"/>
          <w:lang w:val="en-US" w:eastAsia="zh-CN"/>
        </w:rPr>
        <w:t>C</w:t>
      </w:r>
      <w:r>
        <w:rPr>
          <w:rFonts w:ascii="Arial" w:hAnsi="Arial" w:cs="Arial"/>
        </w:rPr>
        <w:t>——</w:t>
      </w:r>
      <w:r>
        <w:rPr>
          <w:rFonts w:hint="eastAsia"/>
          <w:lang w:val="en-US" w:eastAsia="zh-CN"/>
        </w:rPr>
        <w:t>配制的待核查溶液浓度；</w:t>
      </w:r>
    </w:p>
    <w:p w14:paraId="64DE847C">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center"/>
        <w:rPr>
          <w:rFonts w:hint="eastAsia"/>
          <w:lang w:val="en-US" w:eastAsia="zh-CN"/>
        </w:rPr>
      </w:pPr>
      <w:r>
        <w:rPr>
          <w:rFonts w:hint="default" w:ascii="Times New Roman" w:hAnsi="Times New Roman" w:cs="Times New Roman"/>
          <w:lang w:val="en-US" w:eastAsia="zh-CN"/>
        </w:rPr>
        <w:t>C</w:t>
      </w:r>
      <w:r>
        <w:rPr>
          <w:rFonts w:hint="default" w:ascii="Times New Roman" w:hAnsi="Times New Roman" w:cs="Times New Roman"/>
          <w:vertAlign w:val="subscript"/>
          <w:lang w:val="en-US" w:eastAsia="zh-CN"/>
        </w:rPr>
        <w:t>1</w:t>
      </w:r>
      <w:r>
        <w:rPr>
          <w:rFonts w:ascii="Arial" w:hAnsi="Arial" w:cs="Arial"/>
        </w:rPr>
        <w:t>——</w:t>
      </w:r>
      <w:r>
        <w:rPr>
          <w:rFonts w:hint="eastAsia"/>
          <w:lang w:val="en-US" w:eastAsia="zh-CN"/>
        </w:rPr>
        <w:t>被核查标准品浓度平均值。</w:t>
      </w:r>
    </w:p>
    <w:p w14:paraId="0488F0E7">
      <w:pPr>
        <w:pStyle w:val="2"/>
        <w:keepNext w:val="0"/>
        <w:keepLines w:val="0"/>
        <w:pageBreakBefore w:val="0"/>
        <w:wordWrap/>
        <w:overflowPunct/>
        <w:topLinePunct w:val="0"/>
        <w:bidi w:val="0"/>
        <w:adjustRightInd w:val="0"/>
        <w:spacing w:after="0" w:line="240" w:lineRule="auto"/>
        <w:rPr>
          <w:rFonts w:hint="default" w:eastAsia="宋体"/>
          <w:lang w:val="en-US" w:eastAsia="zh-CN"/>
        </w:rPr>
      </w:pPr>
      <w:r>
        <w:rPr>
          <w:rFonts w:hint="default" w:ascii="Times New Roman" w:hAnsi="Times New Roman" w:cs="Times New Roman"/>
          <w:lang w:val="en-US" w:eastAsia="zh-CN"/>
        </w:rPr>
        <w:t>S</w:t>
      </w:r>
      <w:r>
        <w:rPr>
          <w:rFonts w:ascii="Arial" w:hAnsi="Arial" w:cs="Arial"/>
        </w:rPr>
        <w:t>——</w:t>
      </w:r>
      <w:r>
        <w:rPr>
          <w:rFonts w:hint="eastAsia" w:ascii="Arial" w:hAnsi="Arial" w:cs="Arial"/>
          <w:lang w:val="en-US" w:eastAsia="zh-CN"/>
        </w:rPr>
        <w:t>标准偏差</w:t>
      </w:r>
    </w:p>
    <w:p w14:paraId="272467FB">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center"/>
        <w:rPr>
          <w:rFonts w:hint="eastAsia"/>
          <w:lang w:val="en-US" w:eastAsia="zh-CN"/>
        </w:rPr>
      </w:pPr>
      <w:r>
        <w:rPr>
          <w:rFonts w:hint="default" w:ascii="Times New Roman" w:hAnsi="Times New Roman" w:cs="Times New Roman"/>
          <w:lang w:val="en-US" w:eastAsia="zh-CN"/>
        </w:rPr>
        <w:t>t（0.05）</w:t>
      </w:r>
      <w:r>
        <w:rPr>
          <w:rFonts w:hint="eastAsia"/>
          <w:lang w:val="en-US" w:eastAsia="zh-CN"/>
        </w:rPr>
        <w:t>指自由度为</w:t>
      </w:r>
      <w:r>
        <w:rPr>
          <w:rFonts w:hint="default" w:ascii="Times New Roman" w:hAnsi="Times New Roman" w:cs="Times New Roman"/>
          <w:lang w:val="en-US" w:eastAsia="zh-CN"/>
        </w:rPr>
        <w:t>n-1</w:t>
      </w:r>
      <w:r>
        <w:rPr>
          <w:rFonts w:hint="eastAsia"/>
          <w:lang w:val="en-US" w:eastAsia="zh-CN"/>
        </w:rPr>
        <w:t>，检测水准</w:t>
      </w:r>
      <w:r>
        <w:rPr>
          <w:rFonts w:hint="default" w:ascii="Times New Roman" w:hAnsi="Times New Roman" w:cs="Times New Roman"/>
          <w:lang w:val="en-US" w:eastAsia="zh-CN"/>
        </w:rPr>
        <w:t>α</w:t>
      </w:r>
      <w:r>
        <w:rPr>
          <w:rFonts w:hint="eastAsia"/>
          <w:lang w:val="en-US" w:eastAsia="zh-CN"/>
        </w:rPr>
        <w:t>为</w:t>
      </w:r>
      <w:r>
        <w:rPr>
          <w:rFonts w:hint="default" w:ascii="Times New Roman" w:hAnsi="Times New Roman" w:cs="Times New Roman"/>
          <w:lang w:val="en-US" w:eastAsia="zh-CN"/>
        </w:rPr>
        <w:t>0.05</w:t>
      </w:r>
      <w:r>
        <w:rPr>
          <w:rFonts w:hint="eastAsia"/>
          <w:lang w:val="en-US" w:eastAsia="zh-CN"/>
        </w:rPr>
        <w:t>的值，参考《</w:t>
      </w:r>
      <w:r>
        <w:rPr>
          <w:rFonts w:hint="default" w:ascii="Times New Roman" w:hAnsi="Times New Roman" w:cs="Times New Roman"/>
          <w:lang w:val="en-US" w:eastAsia="zh-CN"/>
        </w:rPr>
        <w:t>JJF1343-2022</w:t>
      </w:r>
      <w:r>
        <w:rPr>
          <w:rFonts w:hint="eastAsia"/>
          <w:lang w:val="en-US" w:eastAsia="zh-CN"/>
        </w:rPr>
        <w:t>》查询</w:t>
      </w:r>
    </w:p>
    <w:p w14:paraId="4B6762CE">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center"/>
        <w:rPr>
          <w:rFonts w:hint="eastAsia"/>
          <w:lang w:val="en-US" w:eastAsia="zh-CN"/>
        </w:rPr>
      </w:pPr>
      <w:r>
        <w:rPr>
          <w:rFonts w:hint="eastAsia"/>
          <w:lang w:val="en-US" w:eastAsia="zh-CN"/>
        </w:rPr>
        <w:t>当</w:t>
      </w:r>
      <w:r>
        <w:rPr>
          <w:rFonts w:hint="default" w:ascii="Times New Roman" w:hAnsi="Times New Roman" w:cs="Times New Roman"/>
          <w:lang w:val="en-US" w:eastAsia="zh-CN"/>
        </w:rPr>
        <w:t>t</w:t>
      </w:r>
      <w:r>
        <w:rPr>
          <w:rFonts w:hint="eastAsia"/>
          <w:lang w:val="en-US" w:eastAsia="zh-CN"/>
        </w:rPr>
        <w:t>≤</w:t>
      </w:r>
      <w:r>
        <w:rPr>
          <w:rFonts w:hint="default" w:ascii="Times New Roman" w:hAnsi="Times New Roman" w:cs="Times New Roman"/>
          <w:lang w:val="en-US" w:eastAsia="zh-CN"/>
        </w:rPr>
        <w:t>t（0.05）</w:t>
      </w:r>
      <w:r>
        <w:rPr>
          <w:rFonts w:hint="eastAsia"/>
          <w:lang w:val="en-US" w:eastAsia="zh-CN"/>
        </w:rPr>
        <w:t>，说明被核查标准品结果与标准值没有显著差异；</w:t>
      </w:r>
    </w:p>
    <w:p w14:paraId="21A3D61C">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center"/>
        <w:rPr>
          <w:rFonts w:hint="eastAsia"/>
          <w:lang w:val="en-US" w:eastAsia="zh-CN"/>
        </w:rPr>
      </w:pPr>
      <w:r>
        <w:rPr>
          <w:rFonts w:hint="eastAsia"/>
          <w:lang w:val="en-US" w:eastAsia="zh-CN"/>
        </w:rPr>
        <w:t>当</w:t>
      </w:r>
      <w:r>
        <w:rPr>
          <w:rFonts w:hint="default" w:ascii="Times New Roman" w:hAnsi="Times New Roman" w:cs="Times New Roman"/>
          <w:lang w:val="en-US" w:eastAsia="zh-CN"/>
        </w:rPr>
        <w:t>t</w:t>
      </w:r>
      <w:r>
        <w:rPr>
          <w:rFonts w:hint="eastAsia"/>
          <w:lang w:val="en-US" w:eastAsia="zh-CN"/>
        </w:rPr>
        <w:t>≥</w:t>
      </w:r>
      <w:r>
        <w:rPr>
          <w:rFonts w:hint="default" w:ascii="Times New Roman" w:hAnsi="Times New Roman" w:cs="Times New Roman"/>
          <w:lang w:val="en-US" w:eastAsia="zh-CN"/>
        </w:rPr>
        <w:t>t（0.05）</w:t>
      </w:r>
      <w:r>
        <w:rPr>
          <w:rFonts w:hint="eastAsia"/>
          <w:lang w:val="en-US" w:eastAsia="zh-CN"/>
        </w:rPr>
        <w:t>，说明被核查标准品结果与标准值有差异，建议不得继续使用</w:t>
      </w:r>
    </w:p>
    <w:p w14:paraId="2F4F1015">
      <w:pPr>
        <w:pStyle w:val="19"/>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default" w:ascii="Times New Roman" w:hAnsi="Times New Roman" w:eastAsia="宋体" w:cs="Times New Roman"/>
          <w:kern w:val="2"/>
          <w:sz w:val="21"/>
          <w:szCs w:val="24"/>
          <w:lang w:val="en-US" w:eastAsia="zh-CN" w:bidi="ar-SA"/>
        </w:rPr>
      </w:pPr>
      <w:r>
        <w:rPr>
          <w:rFonts w:hint="eastAsia" w:hAnsi="Cambria Math" w:cs="Cambria Math"/>
          <w:i w:val="0"/>
          <w:snapToGrid w:val="0"/>
          <w:color w:val="000000"/>
          <w:spacing w:val="-3"/>
          <w:kern w:val="0"/>
          <w:position w:val="7"/>
          <w:szCs w:val="21"/>
          <w:lang w:val="en-US" w:eastAsia="zh-CN"/>
        </w:rPr>
        <w:t xml:space="preserve"> </w:t>
      </w:r>
      <w:r>
        <w:rPr>
          <w:rFonts w:hint="eastAsia" w:ascii="Times New Roman" w:hAnsi="Times New Roman" w:eastAsia="宋体" w:cs="Times New Roman"/>
          <w:kern w:val="2"/>
          <w:sz w:val="21"/>
          <w:szCs w:val="24"/>
          <w:lang w:val="en-US" w:eastAsia="zh-CN" w:bidi="ar-SA"/>
        </w:rPr>
        <w:t xml:space="preserve">表B.1 </w:t>
      </w:r>
      <w:r>
        <w:rPr>
          <w:rFonts w:hint="eastAsia" w:cs="Times New Roman"/>
          <w:kern w:val="2"/>
          <w:sz w:val="21"/>
          <w:szCs w:val="24"/>
          <w:lang w:val="en-US" w:eastAsia="zh-CN" w:bidi="ar-SA"/>
        </w:rPr>
        <w:t>标准品期间核查测量次数和</w:t>
      </w:r>
      <w:r>
        <w:rPr>
          <w:rFonts w:hint="default" w:ascii="Times New Roman" w:hAnsi="Times New Roman" w:cs="Times New Roman"/>
          <w:lang w:val="en-US" w:eastAsia="zh-CN"/>
        </w:rPr>
        <w:t>t（0.05）</w:t>
      </w:r>
      <w:r>
        <w:rPr>
          <w:rFonts w:hint="eastAsia" w:cs="Times New Roman"/>
          <w:kern w:val="2"/>
          <w:sz w:val="21"/>
          <w:szCs w:val="24"/>
          <w:lang w:val="en-US" w:eastAsia="zh-CN" w:bidi="ar-SA"/>
        </w:rPr>
        <w:t>对照表</w:t>
      </w:r>
    </w:p>
    <w:tbl>
      <w:tblPr>
        <w:tblStyle w:val="3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9"/>
        <w:gridCol w:w="4167"/>
      </w:tblGrid>
      <w:tr w14:paraId="39BB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6" w:type="pct"/>
            <w:tcBorders>
              <w:tl2br w:val="nil"/>
              <w:tr2bl w:val="nil"/>
            </w:tcBorders>
            <w:vAlign w:val="center"/>
          </w:tcPr>
          <w:p w14:paraId="4A424037">
            <w:pPr>
              <w:pStyle w:val="19"/>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测量次数（n）</w:t>
            </w:r>
          </w:p>
        </w:tc>
        <w:tc>
          <w:tcPr>
            <w:tcW w:w="2243" w:type="pct"/>
            <w:tcBorders>
              <w:tl2br w:val="nil"/>
              <w:tr2bl w:val="nil"/>
            </w:tcBorders>
            <w:vAlign w:val="center"/>
          </w:tcPr>
          <w:p w14:paraId="7B320011">
            <w:pPr>
              <w:pStyle w:val="19"/>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t（</w:t>
            </w:r>
            <w:r>
              <w:rPr>
                <w:rFonts w:hint="default" w:ascii="Times New Roman" w:hAnsi="Times New Roman" w:eastAsia="宋体" w:cs="Times New Roman"/>
                <w:kern w:val="2"/>
                <w:sz w:val="18"/>
                <w:szCs w:val="18"/>
                <w:lang w:val="en-US" w:eastAsia="zh-CN" w:bidi="ar-SA"/>
              </w:rPr>
              <w:t>0.05</w:t>
            </w:r>
            <w:r>
              <w:rPr>
                <w:rFonts w:hint="eastAsia" w:ascii="宋体" w:hAnsi="宋体" w:eastAsia="宋体" w:cs="宋体"/>
                <w:kern w:val="2"/>
                <w:sz w:val="18"/>
                <w:szCs w:val="18"/>
                <w:lang w:val="en-US" w:eastAsia="zh-CN" w:bidi="ar-SA"/>
              </w:rPr>
              <w:t>）</w:t>
            </w:r>
          </w:p>
        </w:tc>
      </w:tr>
      <w:tr w14:paraId="644E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6" w:type="pct"/>
            <w:tcBorders>
              <w:tl2br w:val="nil"/>
              <w:tr2bl w:val="nil"/>
            </w:tcBorders>
            <w:vAlign w:val="center"/>
          </w:tcPr>
          <w:p w14:paraId="12F79CD0">
            <w:pPr>
              <w:pStyle w:val="19"/>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3</w:t>
            </w:r>
          </w:p>
        </w:tc>
        <w:tc>
          <w:tcPr>
            <w:tcW w:w="2243" w:type="pct"/>
            <w:tcBorders>
              <w:tl2br w:val="nil"/>
              <w:tr2bl w:val="nil"/>
            </w:tcBorders>
            <w:vAlign w:val="center"/>
          </w:tcPr>
          <w:p w14:paraId="3AEE9BB8">
            <w:pPr>
              <w:pStyle w:val="19"/>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4.30</w:t>
            </w:r>
          </w:p>
        </w:tc>
      </w:tr>
      <w:tr w14:paraId="01EC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6" w:type="pct"/>
            <w:tcBorders>
              <w:tl2br w:val="nil"/>
              <w:tr2bl w:val="nil"/>
            </w:tcBorders>
            <w:vAlign w:val="center"/>
          </w:tcPr>
          <w:p w14:paraId="7D706D17">
            <w:pPr>
              <w:pStyle w:val="19"/>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4</w:t>
            </w:r>
          </w:p>
        </w:tc>
        <w:tc>
          <w:tcPr>
            <w:tcW w:w="2243" w:type="pct"/>
            <w:tcBorders>
              <w:tl2br w:val="nil"/>
              <w:tr2bl w:val="nil"/>
            </w:tcBorders>
            <w:vAlign w:val="center"/>
          </w:tcPr>
          <w:p w14:paraId="5DA5C6AB">
            <w:pPr>
              <w:pStyle w:val="19"/>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3.18</w:t>
            </w:r>
          </w:p>
        </w:tc>
      </w:tr>
      <w:tr w14:paraId="6A36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6" w:type="pct"/>
            <w:tcBorders>
              <w:tl2br w:val="nil"/>
              <w:tr2bl w:val="nil"/>
            </w:tcBorders>
            <w:vAlign w:val="center"/>
          </w:tcPr>
          <w:p w14:paraId="3DF4A9F2">
            <w:pPr>
              <w:pStyle w:val="19"/>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5</w:t>
            </w:r>
          </w:p>
        </w:tc>
        <w:tc>
          <w:tcPr>
            <w:tcW w:w="2243" w:type="pct"/>
            <w:tcBorders>
              <w:tl2br w:val="nil"/>
              <w:tr2bl w:val="nil"/>
            </w:tcBorders>
            <w:vAlign w:val="center"/>
          </w:tcPr>
          <w:p w14:paraId="0FEAB22A">
            <w:pPr>
              <w:pStyle w:val="19"/>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2.78</w:t>
            </w:r>
          </w:p>
        </w:tc>
      </w:tr>
      <w:tr w14:paraId="3BCB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6" w:type="pct"/>
            <w:tcBorders>
              <w:tl2br w:val="nil"/>
              <w:tr2bl w:val="nil"/>
            </w:tcBorders>
            <w:vAlign w:val="center"/>
          </w:tcPr>
          <w:p w14:paraId="72569B06">
            <w:pPr>
              <w:pStyle w:val="19"/>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6</w:t>
            </w:r>
          </w:p>
        </w:tc>
        <w:tc>
          <w:tcPr>
            <w:tcW w:w="2243" w:type="pct"/>
            <w:tcBorders>
              <w:tl2br w:val="nil"/>
              <w:tr2bl w:val="nil"/>
            </w:tcBorders>
            <w:vAlign w:val="center"/>
          </w:tcPr>
          <w:p w14:paraId="6CA56BBF">
            <w:pPr>
              <w:pStyle w:val="19"/>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2.57</w:t>
            </w:r>
          </w:p>
        </w:tc>
      </w:tr>
    </w:tbl>
    <w:p w14:paraId="473BE115">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r>
        <w:rPr>
          <w:rFonts w:hint="eastAsia"/>
          <w:lang w:val="en-US" w:eastAsia="zh-CN"/>
        </w:rPr>
        <w:t>B.2标准品领用登记</w:t>
      </w:r>
    </w:p>
    <w:p w14:paraId="535E02B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3"/>
          <w:kern w:val="0"/>
          <w:position w:val="7"/>
          <w:szCs w:val="21"/>
          <w:lang w:val="en-US" w:eastAsia="zh-CN"/>
        </w:rPr>
      </w:pPr>
      <w:r>
        <w:rPr>
          <w:rFonts w:hint="eastAsia" w:ascii="黑体" w:hAnsi="黑体" w:eastAsia="黑体" w:cs="黑体"/>
          <w:snapToGrid w:val="0"/>
          <w:color w:val="000000"/>
          <w:spacing w:val="-3"/>
          <w:kern w:val="0"/>
          <w:position w:val="7"/>
          <w:szCs w:val="21"/>
          <w:lang w:val="en-US" w:eastAsia="zh-CN"/>
        </w:rPr>
        <w:t xml:space="preserve">   </w:t>
      </w:r>
      <w:r>
        <w:rPr>
          <w:rFonts w:hint="eastAsia" w:ascii="宋体" w:hAnsi="宋体" w:eastAsia="宋体" w:cs="宋体"/>
          <w:snapToGrid w:val="0"/>
          <w:color w:val="000000"/>
          <w:spacing w:val="-3"/>
          <w:kern w:val="0"/>
          <w:position w:val="7"/>
          <w:szCs w:val="21"/>
          <w:lang w:val="en-US" w:eastAsia="zh-CN"/>
        </w:rPr>
        <w:t>标准品领用登记信息如表</w:t>
      </w:r>
      <w:r>
        <w:rPr>
          <w:rFonts w:hint="default" w:ascii="Times New Roman" w:hAnsi="Times New Roman" w:eastAsia="宋体" w:cs="Times New Roman"/>
          <w:snapToGrid w:val="0"/>
          <w:color w:val="000000"/>
          <w:spacing w:val="-3"/>
          <w:kern w:val="0"/>
          <w:position w:val="7"/>
          <w:szCs w:val="21"/>
          <w:lang w:val="en-US" w:eastAsia="zh-CN"/>
        </w:rPr>
        <w:t>B.2</w:t>
      </w:r>
      <w:r>
        <w:rPr>
          <w:rFonts w:hint="eastAsia" w:ascii="宋体" w:hAnsi="宋体" w:eastAsia="宋体" w:cs="宋体"/>
          <w:snapToGrid w:val="0"/>
          <w:color w:val="000000"/>
          <w:spacing w:val="-3"/>
          <w:kern w:val="0"/>
          <w:position w:val="7"/>
          <w:szCs w:val="21"/>
          <w:lang w:val="en-US" w:eastAsia="zh-CN"/>
        </w:rPr>
        <w:t xml:space="preserve">所示。      </w:t>
      </w:r>
    </w:p>
    <w:p w14:paraId="2A80F3F6">
      <w:pPr>
        <w:keepNext w:val="0"/>
        <w:keepLines w:val="0"/>
        <w:pageBreakBefore w:val="0"/>
        <w:widowControl/>
        <w:kinsoku w:val="0"/>
        <w:wordWrap/>
        <w:overflowPunct/>
        <w:topLinePunct w:val="0"/>
        <w:autoSpaceDE w:val="0"/>
        <w:autoSpaceDN w:val="0"/>
        <w:bidi w:val="0"/>
        <w:adjustRightInd w:val="0"/>
        <w:snapToGrid w:val="0"/>
        <w:spacing w:before="10" w:after="157" w:afterLines="50" w:line="240" w:lineRule="auto"/>
        <w:jc w:val="center"/>
        <w:textAlignment w:val="baseline"/>
        <w:rPr>
          <w:rFonts w:hint="eastAsia" w:ascii="宋体" w:hAnsi="宋体" w:eastAsia="宋体" w:cs="宋体"/>
          <w:snapToGrid w:val="0"/>
          <w:color w:val="000000"/>
          <w:spacing w:val="17"/>
          <w:kern w:val="0"/>
          <w:szCs w:val="21"/>
          <w:lang w:val="en-US" w:eastAsia="zh-CN"/>
        </w:rPr>
      </w:pPr>
      <w:r>
        <w:rPr>
          <w:rFonts w:hint="default" w:ascii="Times New Roman" w:hAnsi="Times New Roman" w:eastAsia="宋体" w:cs="Times New Roman"/>
          <w:snapToGrid w:val="0"/>
          <w:color w:val="000000"/>
          <w:spacing w:val="17"/>
          <w:kern w:val="0"/>
          <w:szCs w:val="21"/>
          <w:lang w:val="en-US" w:eastAsia="zh-CN"/>
        </w:rPr>
        <w:t>表B.</w:t>
      </w:r>
      <w:r>
        <w:rPr>
          <w:rFonts w:hint="eastAsia" w:cs="Times New Roman"/>
          <w:snapToGrid w:val="0"/>
          <w:color w:val="000000"/>
          <w:spacing w:val="17"/>
          <w:kern w:val="0"/>
          <w:szCs w:val="21"/>
          <w:lang w:val="en-US" w:eastAsia="zh-CN"/>
        </w:rPr>
        <w:t>2</w:t>
      </w:r>
      <w:r>
        <w:rPr>
          <w:rFonts w:hint="eastAsia" w:ascii="Times New Roman" w:hAnsi="Times New Roman" w:eastAsia="宋体" w:cs="Times New Roman"/>
          <w:snapToGrid w:val="0"/>
          <w:color w:val="000000"/>
          <w:spacing w:val="17"/>
          <w:kern w:val="0"/>
          <w:szCs w:val="21"/>
          <w:lang w:val="en-US" w:eastAsia="zh-CN"/>
        </w:rPr>
        <w:t xml:space="preserve"> </w:t>
      </w:r>
      <w:r>
        <w:rPr>
          <w:rFonts w:hint="eastAsia" w:ascii="宋体" w:hAnsi="宋体" w:eastAsia="宋体" w:cs="宋体"/>
          <w:snapToGrid w:val="0"/>
          <w:color w:val="000000"/>
          <w:spacing w:val="17"/>
          <w:kern w:val="0"/>
          <w:szCs w:val="21"/>
          <w:lang w:val="en-US" w:eastAsia="zh-CN"/>
        </w:rPr>
        <w:t>标准</w:t>
      </w:r>
      <w:r>
        <w:rPr>
          <w:rFonts w:hint="eastAsia" w:ascii="宋体" w:hAnsi="宋体" w:cs="宋体"/>
          <w:snapToGrid w:val="0"/>
          <w:color w:val="000000"/>
          <w:spacing w:val="17"/>
          <w:kern w:val="0"/>
          <w:szCs w:val="21"/>
          <w:lang w:val="en-US" w:eastAsia="zh-CN"/>
        </w:rPr>
        <w:t>品</w:t>
      </w:r>
      <w:r>
        <w:rPr>
          <w:rFonts w:hint="eastAsia" w:ascii="宋体" w:hAnsi="宋体" w:eastAsia="宋体" w:cs="宋体"/>
          <w:snapToGrid w:val="0"/>
          <w:color w:val="000000"/>
          <w:spacing w:val="17"/>
          <w:kern w:val="0"/>
          <w:szCs w:val="21"/>
          <w:lang w:val="en-US" w:eastAsia="zh-CN"/>
        </w:rPr>
        <w:t>领用登记表</w:t>
      </w:r>
    </w:p>
    <w:tbl>
      <w:tblPr>
        <w:tblStyle w:val="3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197"/>
        <w:gridCol w:w="1199"/>
        <w:gridCol w:w="1795"/>
        <w:gridCol w:w="1496"/>
        <w:gridCol w:w="1796"/>
        <w:gridCol w:w="902"/>
      </w:tblGrid>
      <w:tr w14:paraId="26D0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85" w:type="pct"/>
            <w:noWrap w:val="0"/>
            <w:vAlign w:val="center"/>
          </w:tcPr>
          <w:p w14:paraId="16BE68F5">
            <w:pPr>
              <w:spacing w:line="240" w:lineRule="auto"/>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序号</w:t>
            </w:r>
          </w:p>
        </w:tc>
        <w:tc>
          <w:tcPr>
            <w:tcW w:w="644" w:type="pct"/>
            <w:noWrap w:val="0"/>
            <w:vAlign w:val="center"/>
          </w:tcPr>
          <w:p w14:paraId="6924C0F9">
            <w:pPr>
              <w:spacing w:line="240" w:lineRule="auto"/>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名  称</w:t>
            </w:r>
          </w:p>
        </w:tc>
        <w:tc>
          <w:tcPr>
            <w:tcW w:w="645" w:type="pct"/>
            <w:noWrap w:val="0"/>
            <w:vAlign w:val="center"/>
          </w:tcPr>
          <w:p w14:paraId="62FD21F3">
            <w:pPr>
              <w:spacing w:line="240" w:lineRule="auto"/>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规  格</w:t>
            </w:r>
          </w:p>
        </w:tc>
        <w:tc>
          <w:tcPr>
            <w:tcW w:w="966" w:type="pct"/>
            <w:noWrap w:val="0"/>
            <w:vAlign w:val="center"/>
          </w:tcPr>
          <w:p w14:paraId="133B3A94">
            <w:pPr>
              <w:spacing w:line="240" w:lineRule="auto"/>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唯一性标识</w:t>
            </w:r>
          </w:p>
        </w:tc>
        <w:tc>
          <w:tcPr>
            <w:tcW w:w="805" w:type="pct"/>
            <w:noWrap w:val="0"/>
            <w:vAlign w:val="center"/>
          </w:tcPr>
          <w:p w14:paraId="549D040B">
            <w:pPr>
              <w:spacing w:line="240" w:lineRule="auto"/>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领用日期</w:t>
            </w:r>
          </w:p>
        </w:tc>
        <w:tc>
          <w:tcPr>
            <w:tcW w:w="966" w:type="pct"/>
            <w:noWrap w:val="0"/>
            <w:vAlign w:val="center"/>
          </w:tcPr>
          <w:p w14:paraId="67FE1365">
            <w:pPr>
              <w:spacing w:line="240" w:lineRule="auto"/>
              <w:ind w:firstLine="0" w:firstLineChars="0"/>
              <w:jc w:val="center"/>
              <w:rPr>
                <w:rFonts w:hint="eastAsia" w:ascii="宋体" w:hAnsi="宋体" w:eastAsia="宋体" w:cs="宋体"/>
                <w:bCs/>
                <w:sz w:val="18"/>
                <w:szCs w:val="18"/>
                <w:lang w:val="en-US" w:eastAsia="zh-CN"/>
              </w:rPr>
            </w:pPr>
            <w:r>
              <w:rPr>
                <w:rFonts w:hint="eastAsia" w:ascii="宋体" w:hAnsi="宋体" w:eastAsia="宋体" w:cs="宋体"/>
                <w:bCs/>
                <w:sz w:val="18"/>
                <w:szCs w:val="18"/>
              </w:rPr>
              <w:t>领用人</w:t>
            </w:r>
            <w:r>
              <w:rPr>
                <w:rFonts w:hint="eastAsia" w:ascii="宋体" w:hAnsi="宋体" w:eastAsia="宋体" w:cs="宋体"/>
                <w:bCs/>
                <w:sz w:val="18"/>
                <w:szCs w:val="18"/>
                <w:lang w:val="en-US" w:eastAsia="zh-CN"/>
              </w:rPr>
              <w:t>签字</w:t>
            </w:r>
          </w:p>
        </w:tc>
        <w:tc>
          <w:tcPr>
            <w:tcW w:w="485" w:type="pct"/>
            <w:noWrap w:val="0"/>
            <w:vAlign w:val="center"/>
          </w:tcPr>
          <w:p w14:paraId="469B29A1">
            <w:pPr>
              <w:spacing w:line="240" w:lineRule="auto"/>
              <w:ind w:firstLine="0" w:firstLineChars="0"/>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备注</w:t>
            </w:r>
          </w:p>
        </w:tc>
      </w:tr>
      <w:tr w14:paraId="4D07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85" w:type="pct"/>
            <w:noWrap w:val="0"/>
            <w:vAlign w:val="center"/>
          </w:tcPr>
          <w:p w14:paraId="0412F88D">
            <w:pPr>
              <w:spacing w:line="240" w:lineRule="auto"/>
              <w:ind w:firstLine="0" w:firstLineChars="0"/>
              <w:rPr>
                <w:rFonts w:hint="eastAsia" w:asciiTheme="minorEastAsia" w:hAnsiTheme="minorEastAsia" w:eastAsiaTheme="minorEastAsia" w:cstheme="minorEastAsia"/>
                <w:bCs/>
                <w:sz w:val="18"/>
                <w:szCs w:val="18"/>
              </w:rPr>
            </w:pPr>
          </w:p>
        </w:tc>
        <w:tc>
          <w:tcPr>
            <w:tcW w:w="644" w:type="pct"/>
            <w:noWrap w:val="0"/>
            <w:vAlign w:val="center"/>
          </w:tcPr>
          <w:p w14:paraId="12923171">
            <w:pPr>
              <w:spacing w:line="240" w:lineRule="auto"/>
              <w:ind w:firstLine="0" w:firstLineChars="0"/>
              <w:rPr>
                <w:rFonts w:hint="eastAsia" w:asciiTheme="minorEastAsia" w:hAnsiTheme="minorEastAsia" w:eastAsiaTheme="minorEastAsia" w:cstheme="minorEastAsia"/>
                <w:bCs/>
                <w:sz w:val="18"/>
                <w:szCs w:val="18"/>
              </w:rPr>
            </w:pPr>
          </w:p>
        </w:tc>
        <w:tc>
          <w:tcPr>
            <w:tcW w:w="645" w:type="pct"/>
            <w:noWrap w:val="0"/>
            <w:vAlign w:val="center"/>
          </w:tcPr>
          <w:p w14:paraId="531FC5D5">
            <w:pPr>
              <w:spacing w:line="240" w:lineRule="auto"/>
              <w:ind w:firstLine="0" w:firstLineChars="0"/>
              <w:rPr>
                <w:rFonts w:hint="eastAsia" w:asciiTheme="minorEastAsia" w:hAnsiTheme="minorEastAsia" w:eastAsiaTheme="minorEastAsia" w:cstheme="minorEastAsia"/>
                <w:bCs/>
                <w:sz w:val="18"/>
                <w:szCs w:val="18"/>
              </w:rPr>
            </w:pPr>
          </w:p>
        </w:tc>
        <w:tc>
          <w:tcPr>
            <w:tcW w:w="966" w:type="pct"/>
            <w:noWrap w:val="0"/>
            <w:vAlign w:val="center"/>
          </w:tcPr>
          <w:p w14:paraId="299B79A9">
            <w:pPr>
              <w:spacing w:line="240" w:lineRule="auto"/>
              <w:ind w:firstLine="0" w:firstLineChars="0"/>
              <w:rPr>
                <w:rFonts w:hint="eastAsia" w:asciiTheme="minorEastAsia" w:hAnsiTheme="minorEastAsia" w:eastAsiaTheme="minorEastAsia" w:cstheme="minorEastAsia"/>
                <w:bCs/>
                <w:sz w:val="18"/>
                <w:szCs w:val="18"/>
              </w:rPr>
            </w:pPr>
          </w:p>
        </w:tc>
        <w:tc>
          <w:tcPr>
            <w:tcW w:w="805" w:type="pct"/>
            <w:noWrap w:val="0"/>
            <w:vAlign w:val="center"/>
          </w:tcPr>
          <w:p w14:paraId="685E5ED0">
            <w:pPr>
              <w:spacing w:line="240" w:lineRule="auto"/>
              <w:ind w:firstLine="0" w:firstLineChars="0"/>
              <w:rPr>
                <w:rFonts w:hint="eastAsia" w:asciiTheme="minorEastAsia" w:hAnsiTheme="minorEastAsia" w:eastAsiaTheme="minorEastAsia" w:cstheme="minorEastAsia"/>
                <w:bCs/>
                <w:sz w:val="18"/>
                <w:szCs w:val="18"/>
              </w:rPr>
            </w:pPr>
          </w:p>
        </w:tc>
        <w:tc>
          <w:tcPr>
            <w:tcW w:w="966" w:type="pct"/>
            <w:noWrap w:val="0"/>
            <w:vAlign w:val="center"/>
          </w:tcPr>
          <w:p w14:paraId="63BE58EC">
            <w:pPr>
              <w:spacing w:line="240" w:lineRule="auto"/>
              <w:ind w:firstLine="0" w:firstLineChars="0"/>
              <w:rPr>
                <w:rFonts w:hint="eastAsia" w:asciiTheme="minorEastAsia" w:hAnsiTheme="minorEastAsia" w:eastAsiaTheme="minorEastAsia" w:cstheme="minorEastAsia"/>
                <w:bCs/>
                <w:sz w:val="18"/>
                <w:szCs w:val="18"/>
              </w:rPr>
            </w:pPr>
          </w:p>
        </w:tc>
        <w:tc>
          <w:tcPr>
            <w:tcW w:w="485" w:type="pct"/>
            <w:noWrap w:val="0"/>
            <w:vAlign w:val="center"/>
          </w:tcPr>
          <w:p w14:paraId="7CF0144A">
            <w:pPr>
              <w:spacing w:line="240" w:lineRule="auto"/>
              <w:ind w:firstLine="0" w:firstLineChars="0"/>
              <w:rPr>
                <w:rFonts w:hint="eastAsia" w:asciiTheme="minorEastAsia" w:hAnsiTheme="minorEastAsia" w:eastAsiaTheme="minorEastAsia" w:cstheme="minorEastAsia"/>
                <w:bCs/>
                <w:sz w:val="18"/>
                <w:szCs w:val="18"/>
              </w:rPr>
            </w:pPr>
          </w:p>
        </w:tc>
      </w:tr>
      <w:tr w14:paraId="06F6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85" w:type="pct"/>
            <w:noWrap w:val="0"/>
            <w:vAlign w:val="center"/>
          </w:tcPr>
          <w:p w14:paraId="40313A19">
            <w:pPr>
              <w:spacing w:line="240" w:lineRule="auto"/>
              <w:ind w:firstLine="0" w:firstLineChars="0"/>
              <w:rPr>
                <w:rFonts w:hint="eastAsia" w:asciiTheme="minorEastAsia" w:hAnsiTheme="minorEastAsia" w:eastAsiaTheme="minorEastAsia" w:cstheme="minorEastAsia"/>
                <w:bCs/>
                <w:sz w:val="18"/>
                <w:szCs w:val="18"/>
              </w:rPr>
            </w:pPr>
          </w:p>
        </w:tc>
        <w:tc>
          <w:tcPr>
            <w:tcW w:w="644" w:type="pct"/>
            <w:noWrap w:val="0"/>
            <w:vAlign w:val="center"/>
          </w:tcPr>
          <w:p w14:paraId="00385FC6">
            <w:pPr>
              <w:spacing w:line="240" w:lineRule="auto"/>
              <w:ind w:firstLine="0" w:firstLineChars="0"/>
              <w:rPr>
                <w:rFonts w:hint="eastAsia" w:asciiTheme="minorEastAsia" w:hAnsiTheme="minorEastAsia" w:eastAsiaTheme="minorEastAsia" w:cstheme="minorEastAsia"/>
                <w:bCs/>
                <w:sz w:val="18"/>
                <w:szCs w:val="18"/>
              </w:rPr>
            </w:pPr>
          </w:p>
        </w:tc>
        <w:tc>
          <w:tcPr>
            <w:tcW w:w="645" w:type="pct"/>
            <w:noWrap w:val="0"/>
            <w:vAlign w:val="center"/>
          </w:tcPr>
          <w:p w14:paraId="24A65BB9">
            <w:pPr>
              <w:spacing w:line="240" w:lineRule="auto"/>
              <w:ind w:firstLine="0" w:firstLineChars="0"/>
              <w:rPr>
                <w:rFonts w:hint="eastAsia" w:asciiTheme="minorEastAsia" w:hAnsiTheme="minorEastAsia" w:eastAsiaTheme="minorEastAsia" w:cstheme="minorEastAsia"/>
                <w:bCs/>
                <w:sz w:val="18"/>
                <w:szCs w:val="18"/>
              </w:rPr>
            </w:pPr>
          </w:p>
        </w:tc>
        <w:tc>
          <w:tcPr>
            <w:tcW w:w="966" w:type="pct"/>
            <w:noWrap w:val="0"/>
            <w:vAlign w:val="center"/>
          </w:tcPr>
          <w:p w14:paraId="4FED6B75">
            <w:pPr>
              <w:spacing w:line="240" w:lineRule="auto"/>
              <w:ind w:firstLine="0" w:firstLineChars="0"/>
              <w:rPr>
                <w:rFonts w:hint="eastAsia" w:asciiTheme="minorEastAsia" w:hAnsiTheme="minorEastAsia" w:eastAsiaTheme="minorEastAsia" w:cstheme="minorEastAsia"/>
                <w:bCs/>
                <w:sz w:val="18"/>
                <w:szCs w:val="18"/>
              </w:rPr>
            </w:pPr>
          </w:p>
        </w:tc>
        <w:tc>
          <w:tcPr>
            <w:tcW w:w="805" w:type="pct"/>
            <w:noWrap w:val="0"/>
            <w:vAlign w:val="center"/>
          </w:tcPr>
          <w:p w14:paraId="7E6D0D7C">
            <w:pPr>
              <w:spacing w:line="240" w:lineRule="auto"/>
              <w:ind w:firstLine="0" w:firstLineChars="0"/>
              <w:rPr>
                <w:rFonts w:hint="eastAsia" w:asciiTheme="minorEastAsia" w:hAnsiTheme="minorEastAsia" w:eastAsiaTheme="minorEastAsia" w:cstheme="minorEastAsia"/>
                <w:bCs/>
                <w:sz w:val="18"/>
                <w:szCs w:val="18"/>
              </w:rPr>
            </w:pPr>
          </w:p>
        </w:tc>
        <w:tc>
          <w:tcPr>
            <w:tcW w:w="966" w:type="pct"/>
            <w:noWrap w:val="0"/>
            <w:vAlign w:val="center"/>
          </w:tcPr>
          <w:p w14:paraId="55ED251A">
            <w:pPr>
              <w:spacing w:line="240" w:lineRule="auto"/>
              <w:ind w:firstLine="0" w:firstLineChars="0"/>
              <w:rPr>
                <w:rFonts w:hint="eastAsia" w:asciiTheme="minorEastAsia" w:hAnsiTheme="minorEastAsia" w:eastAsiaTheme="minorEastAsia" w:cstheme="minorEastAsia"/>
                <w:bCs/>
                <w:sz w:val="18"/>
                <w:szCs w:val="18"/>
              </w:rPr>
            </w:pPr>
          </w:p>
        </w:tc>
        <w:tc>
          <w:tcPr>
            <w:tcW w:w="485" w:type="pct"/>
            <w:noWrap w:val="0"/>
            <w:vAlign w:val="center"/>
          </w:tcPr>
          <w:p w14:paraId="4A218933">
            <w:pPr>
              <w:spacing w:line="240" w:lineRule="auto"/>
              <w:ind w:firstLine="0" w:firstLineChars="0"/>
              <w:rPr>
                <w:rFonts w:hint="eastAsia" w:asciiTheme="minorEastAsia" w:hAnsiTheme="minorEastAsia" w:eastAsiaTheme="minorEastAsia" w:cstheme="minorEastAsia"/>
                <w:bCs/>
                <w:sz w:val="18"/>
                <w:szCs w:val="18"/>
              </w:rPr>
            </w:pPr>
          </w:p>
        </w:tc>
      </w:tr>
      <w:tr w14:paraId="32C6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85" w:type="pct"/>
            <w:noWrap w:val="0"/>
            <w:vAlign w:val="center"/>
          </w:tcPr>
          <w:p w14:paraId="5EB598AE">
            <w:pPr>
              <w:spacing w:line="240" w:lineRule="auto"/>
              <w:ind w:firstLine="0" w:firstLineChars="0"/>
              <w:rPr>
                <w:rFonts w:hint="eastAsia" w:asciiTheme="minorEastAsia" w:hAnsiTheme="minorEastAsia" w:eastAsiaTheme="minorEastAsia" w:cstheme="minorEastAsia"/>
                <w:bCs/>
                <w:sz w:val="18"/>
                <w:szCs w:val="18"/>
              </w:rPr>
            </w:pPr>
          </w:p>
        </w:tc>
        <w:tc>
          <w:tcPr>
            <w:tcW w:w="644" w:type="pct"/>
            <w:noWrap w:val="0"/>
            <w:vAlign w:val="center"/>
          </w:tcPr>
          <w:p w14:paraId="70BC9059">
            <w:pPr>
              <w:spacing w:line="240" w:lineRule="auto"/>
              <w:ind w:firstLine="0" w:firstLineChars="0"/>
              <w:rPr>
                <w:rFonts w:hint="eastAsia" w:asciiTheme="minorEastAsia" w:hAnsiTheme="minorEastAsia" w:eastAsiaTheme="minorEastAsia" w:cstheme="minorEastAsia"/>
                <w:bCs/>
                <w:sz w:val="18"/>
                <w:szCs w:val="18"/>
              </w:rPr>
            </w:pPr>
          </w:p>
        </w:tc>
        <w:tc>
          <w:tcPr>
            <w:tcW w:w="645" w:type="pct"/>
            <w:noWrap w:val="0"/>
            <w:vAlign w:val="center"/>
          </w:tcPr>
          <w:p w14:paraId="4051DD6A">
            <w:pPr>
              <w:spacing w:line="240" w:lineRule="auto"/>
              <w:ind w:firstLine="0" w:firstLineChars="0"/>
              <w:rPr>
                <w:rFonts w:hint="eastAsia" w:asciiTheme="minorEastAsia" w:hAnsiTheme="minorEastAsia" w:eastAsiaTheme="minorEastAsia" w:cstheme="minorEastAsia"/>
                <w:bCs/>
                <w:sz w:val="18"/>
                <w:szCs w:val="18"/>
              </w:rPr>
            </w:pPr>
          </w:p>
        </w:tc>
        <w:tc>
          <w:tcPr>
            <w:tcW w:w="966" w:type="pct"/>
            <w:noWrap w:val="0"/>
            <w:vAlign w:val="center"/>
          </w:tcPr>
          <w:p w14:paraId="40F3EF14">
            <w:pPr>
              <w:spacing w:line="240" w:lineRule="auto"/>
              <w:ind w:firstLine="0" w:firstLineChars="0"/>
              <w:rPr>
                <w:rFonts w:hint="eastAsia" w:asciiTheme="minorEastAsia" w:hAnsiTheme="minorEastAsia" w:eastAsiaTheme="minorEastAsia" w:cstheme="minorEastAsia"/>
                <w:bCs/>
                <w:sz w:val="18"/>
                <w:szCs w:val="18"/>
              </w:rPr>
            </w:pPr>
          </w:p>
        </w:tc>
        <w:tc>
          <w:tcPr>
            <w:tcW w:w="805" w:type="pct"/>
            <w:noWrap w:val="0"/>
            <w:vAlign w:val="center"/>
          </w:tcPr>
          <w:p w14:paraId="3752094E">
            <w:pPr>
              <w:spacing w:line="240" w:lineRule="auto"/>
              <w:ind w:firstLine="0" w:firstLineChars="0"/>
              <w:rPr>
                <w:rFonts w:hint="eastAsia" w:asciiTheme="minorEastAsia" w:hAnsiTheme="minorEastAsia" w:eastAsiaTheme="minorEastAsia" w:cstheme="minorEastAsia"/>
                <w:bCs/>
                <w:sz w:val="18"/>
                <w:szCs w:val="18"/>
              </w:rPr>
            </w:pPr>
          </w:p>
        </w:tc>
        <w:tc>
          <w:tcPr>
            <w:tcW w:w="966" w:type="pct"/>
            <w:noWrap w:val="0"/>
            <w:vAlign w:val="center"/>
          </w:tcPr>
          <w:p w14:paraId="0780B8E8">
            <w:pPr>
              <w:spacing w:line="240" w:lineRule="auto"/>
              <w:ind w:firstLine="0" w:firstLineChars="0"/>
              <w:rPr>
                <w:rFonts w:hint="eastAsia" w:asciiTheme="minorEastAsia" w:hAnsiTheme="minorEastAsia" w:eastAsiaTheme="minorEastAsia" w:cstheme="minorEastAsia"/>
                <w:bCs/>
                <w:sz w:val="18"/>
                <w:szCs w:val="18"/>
              </w:rPr>
            </w:pPr>
          </w:p>
        </w:tc>
        <w:tc>
          <w:tcPr>
            <w:tcW w:w="485" w:type="pct"/>
            <w:noWrap w:val="0"/>
            <w:vAlign w:val="center"/>
          </w:tcPr>
          <w:p w14:paraId="6E340608">
            <w:pPr>
              <w:spacing w:line="240" w:lineRule="auto"/>
              <w:ind w:firstLine="0" w:firstLineChars="0"/>
              <w:rPr>
                <w:rFonts w:hint="eastAsia" w:asciiTheme="minorEastAsia" w:hAnsiTheme="minorEastAsia" w:eastAsiaTheme="minorEastAsia" w:cstheme="minorEastAsia"/>
                <w:bCs/>
                <w:sz w:val="18"/>
                <w:szCs w:val="18"/>
              </w:rPr>
            </w:pPr>
          </w:p>
        </w:tc>
      </w:tr>
      <w:tr w14:paraId="6699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85" w:type="pct"/>
            <w:noWrap w:val="0"/>
            <w:vAlign w:val="center"/>
          </w:tcPr>
          <w:p w14:paraId="1B8810B6">
            <w:pPr>
              <w:spacing w:line="240" w:lineRule="auto"/>
              <w:ind w:firstLine="0" w:firstLineChars="0"/>
              <w:rPr>
                <w:rFonts w:hint="eastAsia" w:asciiTheme="minorEastAsia" w:hAnsiTheme="minorEastAsia" w:eastAsiaTheme="minorEastAsia" w:cstheme="minorEastAsia"/>
                <w:bCs/>
                <w:sz w:val="18"/>
                <w:szCs w:val="18"/>
              </w:rPr>
            </w:pPr>
          </w:p>
        </w:tc>
        <w:tc>
          <w:tcPr>
            <w:tcW w:w="644" w:type="pct"/>
            <w:noWrap w:val="0"/>
            <w:vAlign w:val="center"/>
          </w:tcPr>
          <w:p w14:paraId="5CBB1AE5">
            <w:pPr>
              <w:spacing w:line="240" w:lineRule="auto"/>
              <w:ind w:firstLine="0" w:firstLineChars="0"/>
              <w:rPr>
                <w:rFonts w:hint="eastAsia" w:asciiTheme="minorEastAsia" w:hAnsiTheme="minorEastAsia" w:eastAsiaTheme="minorEastAsia" w:cstheme="minorEastAsia"/>
                <w:bCs/>
                <w:sz w:val="18"/>
                <w:szCs w:val="18"/>
              </w:rPr>
            </w:pPr>
          </w:p>
        </w:tc>
        <w:tc>
          <w:tcPr>
            <w:tcW w:w="645" w:type="pct"/>
            <w:noWrap w:val="0"/>
            <w:vAlign w:val="center"/>
          </w:tcPr>
          <w:p w14:paraId="4FF0DDAB">
            <w:pPr>
              <w:spacing w:line="240" w:lineRule="auto"/>
              <w:ind w:firstLine="0" w:firstLineChars="0"/>
              <w:rPr>
                <w:rFonts w:hint="eastAsia" w:asciiTheme="minorEastAsia" w:hAnsiTheme="minorEastAsia" w:eastAsiaTheme="minorEastAsia" w:cstheme="minorEastAsia"/>
                <w:bCs/>
                <w:sz w:val="18"/>
                <w:szCs w:val="18"/>
              </w:rPr>
            </w:pPr>
          </w:p>
        </w:tc>
        <w:tc>
          <w:tcPr>
            <w:tcW w:w="966" w:type="pct"/>
            <w:noWrap w:val="0"/>
            <w:vAlign w:val="center"/>
          </w:tcPr>
          <w:p w14:paraId="1383918E">
            <w:pPr>
              <w:spacing w:line="240" w:lineRule="auto"/>
              <w:ind w:firstLine="0" w:firstLineChars="0"/>
              <w:rPr>
                <w:rFonts w:hint="eastAsia" w:asciiTheme="minorEastAsia" w:hAnsiTheme="minorEastAsia" w:eastAsiaTheme="minorEastAsia" w:cstheme="minorEastAsia"/>
                <w:bCs/>
                <w:sz w:val="18"/>
                <w:szCs w:val="18"/>
              </w:rPr>
            </w:pPr>
          </w:p>
        </w:tc>
        <w:tc>
          <w:tcPr>
            <w:tcW w:w="805" w:type="pct"/>
            <w:noWrap w:val="0"/>
            <w:vAlign w:val="center"/>
          </w:tcPr>
          <w:p w14:paraId="0DCE9021">
            <w:pPr>
              <w:spacing w:line="240" w:lineRule="auto"/>
              <w:ind w:firstLine="0" w:firstLineChars="0"/>
              <w:rPr>
                <w:rFonts w:hint="eastAsia" w:asciiTheme="minorEastAsia" w:hAnsiTheme="minorEastAsia" w:eastAsiaTheme="minorEastAsia" w:cstheme="minorEastAsia"/>
                <w:bCs/>
                <w:sz w:val="18"/>
                <w:szCs w:val="18"/>
              </w:rPr>
            </w:pPr>
          </w:p>
        </w:tc>
        <w:tc>
          <w:tcPr>
            <w:tcW w:w="966" w:type="pct"/>
            <w:noWrap w:val="0"/>
            <w:vAlign w:val="center"/>
          </w:tcPr>
          <w:p w14:paraId="58937516">
            <w:pPr>
              <w:spacing w:line="240" w:lineRule="auto"/>
              <w:ind w:firstLine="0" w:firstLineChars="0"/>
              <w:rPr>
                <w:rFonts w:hint="eastAsia" w:asciiTheme="minorEastAsia" w:hAnsiTheme="minorEastAsia" w:eastAsiaTheme="minorEastAsia" w:cstheme="minorEastAsia"/>
                <w:bCs/>
                <w:sz w:val="18"/>
                <w:szCs w:val="18"/>
              </w:rPr>
            </w:pPr>
          </w:p>
        </w:tc>
        <w:tc>
          <w:tcPr>
            <w:tcW w:w="485" w:type="pct"/>
            <w:noWrap w:val="0"/>
            <w:vAlign w:val="center"/>
          </w:tcPr>
          <w:p w14:paraId="6CB5AA89">
            <w:pPr>
              <w:spacing w:line="240" w:lineRule="auto"/>
              <w:ind w:firstLine="0" w:firstLineChars="0"/>
              <w:rPr>
                <w:rFonts w:hint="eastAsia" w:asciiTheme="minorEastAsia" w:hAnsiTheme="minorEastAsia" w:eastAsiaTheme="minorEastAsia" w:cstheme="minorEastAsia"/>
                <w:bCs/>
                <w:sz w:val="18"/>
                <w:szCs w:val="18"/>
              </w:rPr>
            </w:pPr>
          </w:p>
        </w:tc>
      </w:tr>
      <w:tr w14:paraId="1C37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85" w:type="pct"/>
            <w:noWrap w:val="0"/>
            <w:vAlign w:val="center"/>
          </w:tcPr>
          <w:p w14:paraId="37D227AB">
            <w:pPr>
              <w:spacing w:line="240" w:lineRule="auto"/>
              <w:ind w:firstLine="0" w:firstLineChars="0"/>
              <w:rPr>
                <w:rFonts w:hint="eastAsia" w:asciiTheme="minorEastAsia" w:hAnsiTheme="minorEastAsia" w:eastAsiaTheme="minorEastAsia" w:cstheme="minorEastAsia"/>
                <w:bCs/>
                <w:sz w:val="18"/>
                <w:szCs w:val="18"/>
              </w:rPr>
            </w:pPr>
          </w:p>
        </w:tc>
        <w:tc>
          <w:tcPr>
            <w:tcW w:w="644" w:type="pct"/>
            <w:noWrap w:val="0"/>
            <w:vAlign w:val="center"/>
          </w:tcPr>
          <w:p w14:paraId="0C5F487B">
            <w:pPr>
              <w:spacing w:line="240" w:lineRule="auto"/>
              <w:ind w:firstLine="0" w:firstLineChars="0"/>
              <w:rPr>
                <w:rFonts w:hint="eastAsia" w:asciiTheme="minorEastAsia" w:hAnsiTheme="minorEastAsia" w:eastAsiaTheme="minorEastAsia" w:cstheme="minorEastAsia"/>
                <w:bCs/>
                <w:sz w:val="18"/>
                <w:szCs w:val="18"/>
              </w:rPr>
            </w:pPr>
          </w:p>
        </w:tc>
        <w:tc>
          <w:tcPr>
            <w:tcW w:w="645" w:type="pct"/>
            <w:noWrap w:val="0"/>
            <w:vAlign w:val="center"/>
          </w:tcPr>
          <w:p w14:paraId="12D9AFCA">
            <w:pPr>
              <w:spacing w:line="240" w:lineRule="auto"/>
              <w:ind w:firstLine="0" w:firstLineChars="0"/>
              <w:rPr>
                <w:rFonts w:hint="eastAsia" w:asciiTheme="minorEastAsia" w:hAnsiTheme="minorEastAsia" w:eastAsiaTheme="minorEastAsia" w:cstheme="minorEastAsia"/>
                <w:bCs/>
                <w:sz w:val="18"/>
                <w:szCs w:val="18"/>
              </w:rPr>
            </w:pPr>
          </w:p>
        </w:tc>
        <w:tc>
          <w:tcPr>
            <w:tcW w:w="966" w:type="pct"/>
            <w:noWrap w:val="0"/>
            <w:vAlign w:val="center"/>
          </w:tcPr>
          <w:p w14:paraId="412B3A34">
            <w:pPr>
              <w:spacing w:line="240" w:lineRule="auto"/>
              <w:ind w:firstLine="0" w:firstLineChars="0"/>
              <w:rPr>
                <w:rFonts w:hint="eastAsia" w:asciiTheme="minorEastAsia" w:hAnsiTheme="minorEastAsia" w:eastAsiaTheme="minorEastAsia" w:cstheme="minorEastAsia"/>
                <w:bCs/>
                <w:sz w:val="18"/>
                <w:szCs w:val="18"/>
              </w:rPr>
            </w:pPr>
          </w:p>
        </w:tc>
        <w:tc>
          <w:tcPr>
            <w:tcW w:w="805" w:type="pct"/>
            <w:noWrap w:val="0"/>
            <w:vAlign w:val="center"/>
          </w:tcPr>
          <w:p w14:paraId="07B9CE7F">
            <w:pPr>
              <w:spacing w:line="240" w:lineRule="auto"/>
              <w:ind w:firstLine="0" w:firstLineChars="0"/>
              <w:rPr>
                <w:rFonts w:hint="eastAsia" w:asciiTheme="minorEastAsia" w:hAnsiTheme="minorEastAsia" w:eastAsiaTheme="minorEastAsia" w:cstheme="minorEastAsia"/>
                <w:bCs/>
                <w:sz w:val="18"/>
                <w:szCs w:val="18"/>
              </w:rPr>
            </w:pPr>
          </w:p>
        </w:tc>
        <w:tc>
          <w:tcPr>
            <w:tcW w:w="966" w:type="pct"/>
            <w:noWrap w:val="0"/>
            <w:vAlign w:val="center"/>
          </w:tcPr>
          <w:p w14:paraId="397D64AA">
            <w:pPr>
              <w:spacing w:line="240" w:lineRule="auto"/>
              <w:ind w:firstLine="0" w:firstLineChars="0"/>
              <w:rPr>
                <w:rFonts w:hint="eastAsia" w:asciiTheme="minorEastAsia" w:hAnsiTheme="minorEastAsia" w:eastAsiaTheme="minorEastAsia" w:cstheme="minorEastAsia"/>
                <w:bCs/>
                <w:sz w:val="18"/>
                <w:szCs w:val="18"/>
              </w:rPr>
            </w:pPr>
          </w:p>
        </w:tc>
        <w:tc>
          <w:tcPr>
            <w:tcW w:w="485" w:type="pct"/>
            <w:noWrap w:val="0"/>
            <w:vAlign w:val="center"/>
          </w:tcPr>
          <w:p w14:paraId="16CF77D4">
            <w:pPr>
              <w:spacing w:line="240" w:lineRule="auto"/>
              <w:ind w:firstLine="0" w:firstLineChars="0"/>
              <w:rPr>
                <w:rFonts w:hint="eastAsia" w:asciiTheme="minorEastAsia" w:hAnsiTheme="minorEastAsia" w:eastAsiaTheme="minorEastAsia" w:cstheme="minorEastAsia"/>
                <w:bCs/>
                <w:sz w:val="18"/>
                <w:szCs w:val="18"/>
              </w:rPr>
            </w:pPr>
          </w:p>
        </w:tc>
      </w:tr>
      <w:tr w14:paraId="768C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85" w:type="pct"/>
            <w:noWrap w:val="0"/>
            <w:vAlign w:val="center"/>
          </w:tcPr>
          <w:p w14:paraId="408CD68A">
            <w:pPr>
              <w:spacing w:line="240" w:lineRule="auto"/>
              <w:ind w:firstLine="0" w:firstLineChars="0"/>
              <w:rPr>
                <w:rFonts w:hint="eastAsia" w:asciiTheme="minorEastAsia" w:hAnsiTheme="minorEastAsia" w:eastAsiaTheme="minorEastAsia" w:cstheme="minorEastAsia"/>
                <w:bCs/>
                <w:sz w:val="18"/>
                <w:szCs w:val="18"/>
              </w:rPr>
            </w:pPr>
          </w:p>
        </w:tc>
        <w:tc>
          <w:tcPr>
            <w:tcW w:w="644" w:type="pct"/>
            <w:noWrap w:val="0"/>
            <w:vAlign w:val="center"/>
          </w:tcPr>
          <w:p w14:paraId="2843AC87">
            <w:pPr>
              <w:spacing w:line="240" w:lineRule="auto"/>
              <w:ind w:firstLine="0" w:firstLineChars="0"/>
              <w:rPr>
                <w:rFonts w:hint="eastAsia" w:asciiTheme="minorEastAsia" w:hAnsiTheme="minorEastAsia" w:eastAsiaTheme="minorEastAsia" w:cstheme="minorEastAsia"/>
                <w:bCs/>
                <w:sz w:val="18"/>
                <w:szCs w:val="18"/>
              </w:rPr>
            </w:pPr>
          </w:p>
        </w:tc>
        <w:tc>
          <w:tcPr>
            <w:tcW w:w="645" w:type="pct"/>
            <w:noWrap w:val="0"/>
            <w:vAlign w:val="center"/>
          </w:tcPr>
          <w:p w14:paraId="17712500">
            <w:pPr>
              <w:spacing w:line="240" w:lineRule="auto"/>
              <w:ind w:firstLine="0" w:firstLineChars="0"/>
              <w:rPr>
                <w:rFonts w:hint="eastAsia" w:asciiTheme="minorEastAsia" w:hAnsiTheme="minorEastAsia" w:eastAsiaTheme="minorEastAsia" w:cstheme="minorEastAsia"/>
                <w:bCs/>
                <w:sz w:val="18"/>
                <w:szCs w:val="18"/>
              </w:rPr>
            </w:pPr>
          </w:p>
        </w:tc>
        <w:tc>
          <w:tcPr>
            <w:tcW w:w="966" w:type="pct"/>
            <w:noWrap w:val="0"/>
            <w:vAlign w:val="center"/>
          </w:tcPr>
          <w:p w14:paraId="66B9C268">
            <w:pPr>
              <w:spacing w:line="240" w:lineRule="auto"/>
              <w:ind w:firstLine="0" w:firstLineChars="0"/>
              <w:rPr>
                <w:rFonts w:hint="eastAsia" w:asciiTheme="minorEastAsia" w:hAnsiTheme="minorEastAsia" w:eastAsiaTheme="minorEastAsia" w:cstheme="minorEastAsia"/>
                <w:bCs/>
                <w:sz w:val="18"/>
                <w:szCs w:val="18"/>
              </w:rPr>
            </w:pPr>
          </w:p>
        </w:tc>
        <w:tc>
          <w:tcPr>
            <w:tcW w:w="805" w:type="pct"/>
            <w:noWrap w:val="0"/>
            <w:vAlign w:val="center"/>
          </w:tcPr>
          <w:p w14:paraId="1DBE1802">
            <w:pPr>
              <w:spacing w:line="240" w:lineRule="auto"/>
              <w:ind w:firstLine="0" w:firstLineChars="0"/>
              <w:rPr>
                <w:rFonts w:hint="eastAsia" w:asciiTheme="minorEastAsia" w:hAnsiTheme="minorEastAsia" w:eastAsiaTheme="minorEastAsia" w:cstheme="minorEastAsia"/>
                <w:bCs/>
                <w:sz w:val="18"/>
                <w:szCs w:val="18"/>
              </w:rPr>
            </w:pPr>
          </w:p>
        </w:tc>
        <w:tc>
          <w:tcPr>
            <w:tcW w:w="966" w:type="pct"/>
            <w:noWrap w:val="0"/>
            <w:vAlign w:val="center"/>
          </w:tcPr>
          <w:p w14:paraId="37E4ABF2">
            <w:pPr>
              <w:spacing w:line="240" w:lineRule="auto"/>
              <w:ind w:firstLine="0" w:firstLineChars="0"/>
              <w:rPr>
                <w:rFonts w:hint="eastAsia" w:asciiTheme="minorEastAsia" w:hAnsiTheme="minorEastAsia" w:eastAsiaTheme="minorEastAsia" w:cstheme="minorEastAsia"/>
                <w:bCs/>
                <w:sz w:val="18"/>
                <w:szCs w:val="18"/>
              </w:rPr>
            </w:pPr>
          </w:p>
        </w:tc>
        <w:tc>
          <w:tcPr>
            <w:tcW w:w="485" w:type="pct"/>
            <w:noWrap w:val="0"/>
            <w:vAlign w:val="center"/>
          </w:tcPr>
          <w:p w14:paraId="3EAA27FB">
            <w:pPr>
              <w:spacing w:line="240" w:lineRule="auto"/>
              <w:ind w:firstLine="0" w:firstLineChars="0"/>
              <w:rPr>
                <w:rFonts w:hint="eastAsia" w:asciiTheme="minorEastAsia" w:hAnsiTheme="minorEastAsia" w:eastAsiaTheme="minorEastAsia" w:cstheme="minorEastAsia"/>
                <w:bCs/>
                <w:sz w:val="18"/>
                <w:szCs w:val="18"/>
              </w:rPr>
            </w:pPr>
          </w:p>
        </w:tc>
      </w:tr>
    </w:tbl>
    <w:p w14:paraId="59AB9CB0">
      <w:pPr>
        <w:jc w:val="both"/>
        <w:rPr>
          <w:rFonts w:hint="default" w:ascii="黑体" w:hAnsi="黑体" w:eastAsia="黑体" w:cs="黑体"/>
          <w:snapToGrid w:val="0"/>
          <w:color w:val="000000"/>
          <w:spacing w:val="17"/>
          <w:kern w:val="0"/>
          <w:szCs w:val="21"/>
          <w:lang w:val="en-US" w:eastAsia="zh-CN"/>
        </w:rPr>
      </w:pPr>
    </w:p>
    <w:p w14:paraId="0BBAD561">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ascii="黑体" w:hAnsi="黑体" w:eastAsia="黑体" w:cs="黑体"/>
          <w:snapToGrid w:val="0"/>
          <w:color w:val="000000"/>
          <w:spacing w:val="-3"/>
          <w:kern w:val="0"/>
          <w:position w:val="7"/>
          <w:szCs w:val="21"/>
          <w:lang w:val="en-US" w:eastAsia="zh-CN"/>
        </w:rPr>
      </w:pPr>
      <w:r>
        <w:rPr>
          <w:rFonts w:hint="eastAsia"/>
          <w:lang w:val="en-US" w:eastAsia="zh-CN"/>
        </w:rPr>
        <w:t>B.3标准品盘存记录</w:t>
      </w:r>
    </w:p>
    <w:p w14:paraId="18527F20">
      <w:pPr>
        <w:keepNext w:val="0"/>
        <w:keepLines w:val="0"/>
        <w:pageBreakBefore w:val="0"/>
        <w:widowControl w:val="0"/>
        <w:kinsoku/>
        <w:wordWrap/>
        <w:overflowPunct/>
        <w:topLinePunct w:val="0"/>
        <w:autoSpaceDE/>
        <w:autoSpaceDN/>
        <w:bidi w:val="0"/>
        <w:adjustRightInd/>
        <w:snapToGrid/>
        <w:spacing w:line="240" w:lineRule="auto"/>
        <w:ind w:firstLine="204" w:firstLineChars="100"/>
        <w:jc w:val="left"/>
        <w:textAlignment w:val="auto"/>
        <w:rPr>
          <w:rFonts w:hint="default" w:ascii="黑体" w:hAnsi="黑体" w:eastAsia="黑体" w:cs="黑体"/>
          <w:snapToGrid w:val="0"/>
          <w:color w:val="000000"/>
          <w:spacing w:val="17"/>
          <w:kern w:val="0"/>
          <w:szCs w:val="21"/>
          <w:lang w:val="en-US" w:eastAsia="zh-CN"/>
        </w:rPr>
      </w:pPr>
      <w:r>
        <w:rPr>
          <w:rFonts w:hint="eastAsia" w:ascii="宋体" w:hAnsi="宋体" w:eastAsia="宋体" w:cs="宋体"/>
          <w:snapToGrid w:val="0"/>
          <w:color w:val="000000"/>
          <w:spacing w:val="-3"/>
          <w:kern w:val="0"/>
          <w:position w:val="7"/>
          <w:szCs w:val="21"/>
          <w:lang w:val="en-US" w:eastAsia="zh-CN"/>
        </w:rPr>
        <w:t>标准品领用登记信息如表</w:t>
      </w:r>
      <w:r>
        <w:rPr>
          <w:rFonts w:hint="default" w:ascii="Times New Roman" w:hAnsi="Times New Roman" w:eastAsia="宋体" w:cs="Times New Roman"/>
          <w:snapToGrid w:val="0"/>
          <w:color w:val="000000"/>
          <w:spacing w:val="-3"/>
          <w:kern w:val="0"/>
          <w:position w:val="7"/>
          <w:szCs w:val="21"/>
          <w:lang w:val="en-US" w:eastAsia="zh-CN"/>
        </w:rPr>
        <w:t>B.</w:t>
      </w:r>
      <w:r>
        <w:rPr>
          <w:rFonts w:hint="default" w:ascii="Times New Roman" w:hAnsi="Times New Roman" w:cs="Times New Roman"/>
          <w:snapToGrid w:val="0"/>
          <w:color w:val="000000"/>
          <w:spacing w:val="-3"/>
          <w:kern w:val="0"/>
          <w:position w:val="7"/>
          <w:szCs w:val="21"/>
          <w:lang w:val="en-US" w:eastAsia="zh-CN"/>
        </w:rPr>
        <w:t>3</w:t>
      </w:r>
      <w:r>
        <w:rPr>
          <w:rFonts w:hint="eastAsia" w:ascii="宋体" w:hAnsi="宋体" w:eastAsia="宋体" w:cs="宋体"/>
          <w:snapToGrid w:val="0"/>
          <w:color w:val="000000"/>
          <w:spacing w:val="-3"/>
          <w:kern w:val="0"/>
          <w:position w:val="7"/>
          <w:szCs w:val="21"/>
          <w:lang w:val="en-US" w:eastAsia="zh-CN"/>
        </w:rPr>
        <w:t>所示</w:t>
      </w:r>
      <w:r>
        <w:rPr>
          <w:rFonts w:hint="eastAsia" w:ascii="宋体" w:hAnsi="宋体" w:cs="宋体"/>
          <w:snapToGrid w:val="0"/>
          <w:color w:val="000000"/>
          <w:spacing w:val="-3"/>
          <w:kern w:val="0"/>
          <w:position w:val="7"/>
          <w:szCs w:val="21"/>
          <w:lang w:val="en-US" w:eastAsia="zh-CN"/>
        </w:rPr>
        <w:t>。</w:t>
      </w:r>
    </w:p>
    <w:p w14:paraId="5A1E82B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snapToGrid w:val="0"/>
          <w:color w:val="000000"/>
          <w:spacing w:val="17"/>
          <w:kern w:val="0"/>
          <w:szCs w:val="21"/>
          <w:lang w:val="en-US" w:eastAsia="zh-CN"/>
        </w:rPr>
      </w:pPr>
      <w:r>
        <w:rPr>
          <w:rFonts w:hint="default" w:ascii="Times New Roman" w:hAnsi="Times New Roman" w:eastAsia="宋体" w:cs="Times New Roman"/>
          <w:snapToGrid w:val="0"/>
          <w:color w:val="000000"/>
          <w:spacing w:val="17"/>
          <w:kern w:val="0"/>
          <w:szCs w:val="21"/>
          <w:lang w:val="en-US" w:eastAsia="zh-CN"/>
        </w:rPr>
        <w:t>表B.</w:t>
      </w:r>
      <w:r>
        <w:rPr>
          <w:rFonts w:hint="default" w:ascii="Times New Roman" w:hAnsi="Times New Roman" w:cs="Times New Roman"/>
          <w:snapToGrid w:val="0"/>
          <w:color w:val="000000"/>
          <w:spacing w:val="17"/>
          <w:kern w:val="0"/>
          <w:szCs w:val="21"/>
          <w:lang w:val="en-US" w:eastAsia="zh-CN"/>
        </w:rPr>
        <w:t>3</w:t>
      </w:r>
      <w:r>
        <w:rPr>
          <w:rFonts w:hint="eastAsia" w:ascii="宋体" w:hAnsi="宋体" w:eastAsia="宋体" w:cs="宋体"/>
          <w:snapToGrid w:val="0"/>
          <w:color w:val="000000"/>
          <w:spacing w:val="17"/>
          <w:kern w:val="0"/>
          <w:szCs w:val="21"/>
          <w:lang w:val="en-US" w:eastAsia="zh-CN"/>
        </w:rPr>
        <w:t>标准</w:t>
      </w:r>
      <w:r>
        <w:rPr>
          <w:rFonts w:hint="eastAsia" w:ascii="宋体" w:hAnsi="宋体" w:cs="宋体"/>
          <w:snapToGrid w:val="0"/>
          <w:color w:val="000000"/>
          <w:spacing w:val="17"/>
          <w:kern w:val="0"/>
          <w:szCs w:val="21"/>
          <w:lang w:val="en-US" w:eastAsia="zh-CN"/>
        </w:rPr>
        <w:t>品</w:t>
      </w:r>
      <w:r>
        <w:rPr>
          <w:rFonts w:hint="eastAsia" w:ascii="宋体" w:hAnsi="宋体" w:eastAsia="宋体" w:cs="宋体"/>
          <w:snapToGrid w:val="0"/>
          <w:color w:val="000000"/>
          <w:spacing w:val="17"/>
          <w:kern w:val="0"/>
          <w:szCs w:val="21"/>
          <w:lang w:val="en-US" w:eastAsia="zh-CN"/>
        </w:rPr>
        <w:t>盘存记录表</w:t>
      </w:r>
    </w:p>
    <w:tbl>
      <w:tblPr>
        <w:tblStyle w:val="33"/>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3"/>
        <w:gridCol w:w="1063"/>
        <w:gridCol w:w="1063"/>
        <w:gridCol w:w="1063"/>
        <w:gridCol w:w="1063"/>
        <w:gridCol w:w="1063"/>
        <w:gridCol w:w="1063"/>
        <w:gridCol w:w="1063"/>
        <w:gridCol w:w="1067"/>
      </w:tblGrid>
      <w:tr w14:paraId="28CF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1FD0B1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名称</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6DCE8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浓度/纯度</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9355E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批号及CAS号</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CEBC9C5">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购进日期及有效期</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4A0D2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生产商</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6E75462">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库存数量</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997AF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库存余量</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CAB1A9A">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储存</w:t>
            </w:r>
            <w:r>
              <w:rPr>
                <w:rFonts w:hint="eastAsia" w:ascii="宋体" w:hAnsi="宋体" w:eastAsia="宋体" w:cs="宋体"/>
                <w:i w:val="0"/>
                <w:iCs w:val="0"/>
                <w:color w:val="000000"/>
                <w:kern w:val="0"/>
                <w:sz w:val="18"/>
                <w:szCs w:val="18"/>
                <w:u w:val="none"/>
                <w:lang w:val="en-US" w:eastAsia="zh-CN" w:bidi="ar"/>
              </w:rPr>
              <w:t>地点及条件</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6AAD47F">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管理人员签字</w:t>
            </w:r>
          </w:p>
        </w:tc>
      </w:tr>
      <w:tr w14:paraId="1DE60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11A04083">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1B4535A">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1FFCD3B">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43DF184">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A087761">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036A86B">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DAB4EB8">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E1A55D7">
            <w:pPr>
              <w:spacing w:line="360" w:lineRule="auto"/>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7B09BAA">
            <w:pPr>
              <w:spacing w:line="360" w:lineRule="auto"/>
              <w:rPr>
                <w:rFonts w:hint="eastAsia" w:ascii="宋体" w:hAnsi="宋体" w:eastAsia="宋体" w:cs="宋体"/>
                <w:i w:val="0"/>
                <w:iCs w:val="0"/>
                <w:color w:val="000000"/>
                <w:sz w:val="18"/>
                <w:szCs w:val="18"/>
                <w:u w:val="none"/>
              </w:rPr>
            </w:pPr>
          </w:p>
        </w:tc>
      </w:tr>
      <w:tr w14:paraId="3281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7C5E48A9">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52179AC">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BAE7480">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0DFCB84">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AD93DFE">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8D08701">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6020701">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18A48E1">
            <w:pPr>
              <w:spacing w:line="360" w:lineRule="auto"/>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F4081A5">
            <w:pPr>
              <w:spacing w:line="360" w:lineRule="auto"/>
              <w:rPr>
                <w:rFonts w:hint="eastAsia" w:ascii="宋体" w:hAnsi="宋体" w:eastAsia="宋体" w:cs="宋体"/>
                <w:i w:val="0"/>
                <w:iCs w:val="0"/>
                <w:color w:val="000000"/>
                <w:sz w:val="18"/>
                <w:szCs w:val="18"/>
                <w:u w:val="none"/>
              </w:rPr>
            </w:pPr>
          </w:p>
        </w:tc>
      </w:tr>
      <w:tr w14:paraId="2FBB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15E3C0FF">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0C4EE9D">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E579945">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61B3F49">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DEFC469">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F70FD15">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0092C3C">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B37EA7B">
            <w:pPr>
              <w:spacing w:line="360" w:lineRule="auto"/>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AFB8C69">
            <w:pPr>
              <w:spacing w:line="360" w:lineRule="auto"/>
              <w:rPr>
                <w:rFonts w:hint="eastAsia" w:ascii="宋体" w:hAnsi="宋体" w:eastAsia="宋体" w:cs="宋体"/>
                <w:i w:val="0"/>
                <w:iCs w:val="0"/>
                <w:color w:val="000000"/>
                <w:sz w:val="18"/>
                <w:szCs w:val="18"/>
                <w:u w:val="none"/>
              </w:rPr>
            </w:pPr>
          </w:p>
        </w:tc>
      </w:tr>
      <w:tr w14:paraId="2399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3CB220D0">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C4AB8FA">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B9AAD66">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D278719">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B2C5509">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0827835">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715D512">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0E6D8CE">
            <w:pPr>
              <w:spacing w:line="360" w:lineRule="auto"/>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4207229">
            <w:pPr>
              <w:spacing w:line="360" w:lineRule="auto"/>
              <w:rPr>
                <w:rFonts w:hint="eastAsia" w:ascii="宋体" w:hAnsi="宋体" w:eastAsia="宋体" w:cs="宋体"/>
                <w:i w:val="0"/>
                <w:iCs w:val="0"/>
                <w:color w:val="000000"/>
                <w:sz w:val="18"/>
                <w:szCs w:val="18"/>
                <w:u w:val="none"/>
              </w:rPr>
            </w:pPr>
          </w:p>
        </w:tc>
      </w:tr>
      <w:tr w14:paraId="4969E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1719BCE3">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00D5AFE">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B413CF0">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5E647B2">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05AFC71">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7B386E7">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AC29F7F">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C270B9B">
            <w:pPr>
              <w:spacing w:line="360" w:lineRule="auto"/>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D6D708D">
            <w:pPr>
              <w:spacing w:line="360" w:lineRule="auto"/>
              <w:rPr>
                <w:rFonts w:hint="eastAsia" w:ascii="宋体" w:hAnsi="宋体" w:eastAsia="宋体" w:cs="宋体"/>
                <w:i w:val="0"/>
                <w:iCs w:val="0"/>
                <w:color w:val="000000"/>
                <w:sz w:val="18"/>
                <w:szCs w:val="18"/>
                <w:u w:val="none"/>
              </w:rPr>
            </w:pPr>
          </w:p>
        </w:tc>
      </w:tr>
      <w:tr w14:paraId="385A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76AACFC9">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AD6DC8A">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CEEC49D">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9B16A94">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AED6515">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72E206C">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FF4A3BA">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1B7E8FF">
            <w:pPr>
              <w:spacing w:line="360" w:lineRule="auto"/>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6EDAE19">
            <w:pPr>
              <w:spacing w:line="360" w:lineRule="auto"/>
              <w:rPr>
                <w:rFonts w:hint="eastAsia" w:ascii="宋体" w:hAnsi="宋体" w:eastAsia="宋体" w:cs="宋体"/>
                <w:i w:val="0"/>
                <w:iCs w:val="0"/>
                <w:color w:val="000000"/>
                <w:sz w:val="18"/>
                <w:szCs w:val="18"/>
                <w:u w:val="none"/>
              </w:rPr>
            </w:pPr>
          </w:p>
        </w:tc>
      </w:tr>
      <w:tr w14:paraId="2C7E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2A421937">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2093D8A">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D4B6CF3">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E1BA9B6">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5EC312A">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8E4DFAA">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7276376">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4A9A835">
            <w:pPr>
              <w:spacing w:line="360" w:lineRule="auto"/>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C119D8F">
            <w:pPr>
              <w:spacing w:line="360" w:lineRule="auto"/>
              <w:rPr>
                <w:rFonts w:hint="eastAsia" w:ascii="宋体" w:hAnsi="宋体" w:eastAsia="宋体" w:cs="宋体"/>
                <w:i w:val="0"/>
                <w:iCs w:val="0"/>
                <w:color w:val="000000"/>
                <w:sz w:val="18"/>
                <w:szCs w:val="18"/>
                <w:u w:val="none"/>
              </w:rPr>
            </w:pPr>
          </w:p>
        </w:tc>
      </w:tr>
      <w:tr w14:paraId="5B5DF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4E16AFDF">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0EE902C">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1BF950B">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5B1C95D">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F38407C">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38B1990">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CEE9C87">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D197830">
            <w:pPr>
              <w:spacing w:line="360" w:lineRule="auto"/>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1B8E1B9">
            <w:pPr>
              <w:spacing w:line="360" w:lineRule="auto"/>
              <w:rPr>
                <w:rFonts w:hint="eastAsia" w:ascii="宋体" w:hAnsi="宋体" w:eastAsia="宋体" w:cs="宋体"/>
                <w:i w:val="0"/>
                <w:iCs w:val="0"/>
                <w:color w:val="000000"/>
                <w:sz w:val="18"/>
                <w:szCs w:val="18"/>
                <w:u w:val="none"/>
              </w:rPr>
            </w:pPr>
          </w:p>
        </w:tc>
      </w:tr>
      <w:tr w14:paraId="196A0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63549511">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9666A67">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5391DA3">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523C28E">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8F9C00A">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69EE845">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0F286FB">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FB9F8B6">
            <w:pPr>
              <w:spacing w:line="360" w:lineRule="auto"/>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B6CDE8C">
            <w:pPr>
              <w:spacing w:line="360" w:lineRule="auto"/>
              <w:rPr>
                <w:rFonts w:hint="eastAsia" w:ascii="宋体" w:hAnsi="宋体" w:eastAsia="宋体" w:cs="宋体"/>
                <w:i w:val="0"/>
                <w:iCs w:val="0"/>
                <w:color w:val="000000"/>
                <w:sz w:val="18"/>
                <w:szCs w:val="18"/>
                <w:u w:val="none"/>
              </w:rPr>
            </w:pPr>
          </w:p>
        </w:tc>
      </w:tr>
      <w:tr w14:paraId="7423A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2ADFF765">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C90A023">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B3DF521">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62BF692">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9C60272">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82419A1">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C7D2F45">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D151BDF">
            <w:pPr>
              <w:spacing w:line="360" w:lineRule="auto"/>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7179437">
            <w:pPr>
              <w:spacing w:line="360" w:lineRule="auto"/>
              <w:rPr>
                <w:rFonts w:hint="eastAsia" w:ascii="宋体" w:hAnsi="宋体" w:eastAsia="宋体" w:cs="宋体"/>
                <w:i w:val="0"/>
                <w:iCs w:val="0"/>
                <w:color w:val="000000"/>
                <w:sz w:val="18"/>
                <w:szCs w:val="18"/>
                <w:u w:val="none"/>
              </w:rPr>
            </w:pPr>
          </w:p>
        </w:tc>
      </w:tr>
      <w:tr w14:paraId="36FB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61A7F68E">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70947B0">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8C4FE6D">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8B26302">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0054D74">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F5FB092">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E6BC26A">
            <w:pPr>
              <w:spacing w:line="360" w:lineRule="auto"/>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9E8098C">
            <w:pPr>
              <w:spacing w:line="360" w:lineRule="auto"/>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C622097">
            <w:pPr>
              <w:spacing w:line="360" w:lineRule="auto"/>
              <w:rPr>
                <w:rFonts w:hint="eastAsia" w:ascii="宋体" w:hAnsi="宋体" w:eastAsia="宋体" w:cs="宋体"/>
                <w:i w:val="0"/>
                <w:iCs w:val="0"/>
                <w:color w:val="000000"/>
                <w:sz w:val="18"/>
                <w:szCs w:val="18"/>
                <w:u w:val="none"/>
              </w:rPr>
            </w:pPr>
          </w:p>
        </w:tc>
      </w:tr>
    </w:tbl>
    <w:p w14:paraId="53CE6B6B">
      <w:pPr>
        <w:widowControl/>
        <w:kinsoku w:val="0"/>
        <w:autoSpaceDE w:val="0"/>
        <w:autoSpaceDN w:val="0"/>
        <w:adjustRightInd w:val="0"/>
        <w:snapToGrid w:val="0"/>
        <w:spacing w:before="68" w:line="310" w:lineRule="exact"/>
        <w:ind w:left="4223"/>
        <w:jc w:val="left"/>
        <w:textAlignment w:val="baseline"/>
        <w:rPr>
          <w:rFonts w:ascii="黑体" w:hAnsi="黑体" w:eastAsia="黑体" w:cs="黑体"/>
          <w:snapToGrid w:val="0"/>
          <w:color w:val="000000"/>
          <w:spacing w:val="-3"/>
          <w:kern w:val="0"/>
          <w:position w:val="7"/>
          <w:sz w:val="21"/>
          <w:szCs w:val="21"/>
        </w:rPr>
        <w:sectPr>
          <w:pgSz w:w="11907" w:h="16839"/>
          <w:pgMar w:top="1418" w:right="1134" w:bottom="1134" w:left="1418" w:header="1418" w:footer="851" w:gutter="0"/>
          <w:pgNumType w:start="1"/>
          <w:cols w:space="720" w:num="1"/>
          <w:docGrid w:type="lines" w:linePitch="312" w:charSpace="0"/>
        </w:sectPr>
      </w:pPr>
    </w:p>
    <w:p w14:paraId="1538FB5D">
      <w:pPr>
        <w:widowControl/>
        <w:kinsoku w:val="0"/>
        <w:autoSpaceDE w:val="0"/>
        <w:autoSpaceDN w:val="0"/>
        <w:adjustRightInd w:val="0"/>
        <w:snapToGrid w:val="0"/>
        <w:spacing w:before="68" w:line="310" w:lineRule="exact"/>
        <w:jc w:val="center"/>
        <w:textAlignment w:val="baseline"/>
        <w:outlineLvl w:val="0"/>
        <w:rPr>
          <w:rFonts w:hint="eastAsia" w:ascii="黑体" w:hAnsi="黑体" w:eastAsia="黑体" w:cs="黑体"/>
          <w:snapToGrid w:val="0"/>
          <w:color w:val="000000"/>
          <w:kern w:val="0"/>
          <w:szCs w:val="21"/>
          <w:lang w:val="en-US" w:eastAsia="zh-CN"/>
        </w:rPr>
      </w:pPr>
      <w:bookmarkStart w:id="68" w:name="_Toc23051"/>
      <w:bookmarkStart w:id="69" w:name="_Toc11206"/>
      <w:r>
        <w:rPr>
          <w:rFonts w:ascii="黑体" w:hAnsi="黑体" w:eastAsia="黑体" w:cs="黑体"/>
          <w:snapToGrid w:val="0"/>
          <w:color w:val="000000"/>
          <w:spacing w:val="-2"/>
          <w:kern w:val="0"/>
          <w:position w:val="7"/>
          <w:szCs w:val="21"/>
        </w:rPr>
        <w:t>附</w:t>
      </w:r>
      <w:r>
        <w:rPr>
          <w:rFonts w:ascii="黑体" w:hAnsi="黑体" w:eastAsia="黑体" w:cs="黑体"/>
          <w:snapToGrid w:val="0"/>
          <w:color w:val="000000"/>
          <w:spacing w:val="-1"/>
          <w:kern w:val="0"/>
          <w:position w:val="7"/>
          <w:szCs w:val="21"/>
        </w:rPr>
        <w:t xml:space="preserve">  录  </w:t>
      </w:r>
      <w:r>
        <w:rPr>
          <w:rFonts w:hint="eastAsia" w:ascii="黑体" w:hAnsi="黑体" w:eastAsia="黑体" w:cs="黑体"/>
          <w:snapToGrid w:val="0"/>
          <w:color w:val="000000"/>
          <w:spacing w:val="-1"/>
          <w:kern w:val="0"/>
          <w:position w:val="7"/>
          <w:szCs w:val="21"/>
          <w:lang w:val="en-US" w:eastAsia="zh-CN"/>
        </w:rPr>
        <w:t>C</w:t>
      </w:r>
      <w:bookmarkEnd w:id="68"/>
      <w:bookmarkEnd w:id="69"/>
    </w:p>
    <w:p w14:paraId="6175F2A8">
      <w:pPr>
        <w:widowControl/>
        <w:kinsoku w:val="0"/>
        <w:autoSpaceDE w:val="0"/>
        <w:autoSpaceDN w:val="0"/>
        <w:adjustRightInd w:val="0"/>
        <w:snapToGrid w:val="0"/>
        <w:spacing w:line="219" w:lineRule="auto"/>
        <w:ind w:left="3955"/>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11"/>
          <w:kern w:val="0"/>
          <w:szCs w:val="21"/>
        </w:rPr>
        <w:t>(</w:t>
      </w:r>
      <w:r>
        <w:rPr>
          <w:rFonts w:ascii="黑体" w:hAnsi="黑体" w:eastAsia="黑体" w:cs="黑体"/>
          <w:snapToGrid w:val="0"/>
          <w:color w:val="000000"/>
          <w:spacing w:val="10"/>
          <w:kern w:val="0"/>
          <w:szCs w:val="21"/>
        </w:rPr>
        <w:t>资料性附录)</w:t>
      </w:r>
    </w:p>
    <w:p w14:paraId="47E79AD4">
      <w:pPr>
        <w:widowControl/>
        <w:kinsoku w:val="0"/>
        <w:autoSpaceDE w:val="0"/>
        <w:autoSpaceDN w:val="0"/>
        <w:adjustRightInd w:val="0"/>
        <w:snapToGrid w:val="0"/>
        <w:spacing w:before="68" w:line="310" w:lineRule="exact"/>
        <w:jc w:val="center"/>
        <w:textAlignment w:val="baseline"/>
        <w:rPr>
          <w:rFonts w:hint="eastAsia" w:ascii="黑体" w:hAnsi="黑体" w:eastAsia="黑体" w:cs="黑体"/>
          <w:snapToGrid w:val="0"/>
          <w:color w:val="000000"/>
          <w:spacing w:val="-3"/>
          <w:kern w:val="0"/>
          <w:position w:val="7"/>
          <w:szCs w:val="21"/>
          <w:lang w:val="en-US" w:eastAsia="zh-CN"/>
        </w:rPr>
      </w:pPr>
      <w:r>
        <w:rPr>
          <w:rFonts w:hint="eastAsia" w:ascii="黑体" w:hAnsi="黑体" w:eastAsia="黑体" w:cs="黑体"/>
          <w:snapToGrid w:val="0"/>
          <w:color w:val="000000"/>
          <w:spacing w:val="-3"/>
          <w:kern w:val="0"/>
          <w:position w:val="7"/>
          <w:szCs w:val="21"/>
          <w:lang w:val="en-US" w:eastAsia="zh-CN"/>
        </w:rPr>
        <w:t>危化品领用盘存记录</w:t>
      </w:r>
    </w:p>
    <w:p w14:paraId="7F4FD944">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r>
        <w:rPr>
          <w:rFonts w:hint="eastAsia"/>
          <w:lang w:val="en-US" w:eastAsia="zh-CN"/>
        </w:rPr>
        <w:t>C.1危化品领用及盘存记录</w:t>
      </w:r>
    </w:p>
    <w:p w14:paraId="3BDBEAD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黑体" w:hAnsi="黑体" w:eastAsia="黑体" w:cs="黑体"/>
          <w:snapToGrid w:val="0"/>
          <w:color w:val="000000"/>
          <w:spacing w:val="-3"/>
          <w:kern w:val="0"/>
          <w:position w:val="7"/>
          <w:szCs w:val="21"/>
        </w:rPr>
      </w:pPr>
      <w:r>
        <w:rPr>
          <w:rFonts w:hint="eastAsia" w:ascii="黑体" w:hAnsi="黑体" w:eastAsia="黑体" w:cs="黑体"/>
          <w:snapToGrid w:val="0"/>
          <w:color w:val="000000"/>
          <w:spacing w:val="-3"/>
          <w:kern w:val="0"/>
          <w:position w:val="7"/>
          <w:szCs w:val="21"/>
          <w:lang w:val="en-US" w:eastAsia="zh-CN"/>
        </w:rPr>
        <w:t xml:space="preserve">   </w:t>
      </w:r>
      <w:r>
        <w:rPr>
          <w:rFonts w:hint="eastAsia" w:ascii="宋体" w:hAnsi="宋体" w:cs="宋体"/>
          <w:snapToGrid w:val="0"/>
          <w:color w:val="000000"/>
          <w:spacing w:val="-3"/>
          <w:kern w:val="0"/>
          <w:position w:val="7"/>
          <w:szCs w:val="21"/>
          <w:lang w:val="en-US" w:eastAsia="zh-CN"/>
        </w:rPr>
        <w:t>危化品领用及盘存</w:t>
      </w:r>
      <w:r>
        <w:rPr>
          <w:rFonts w:hint="eastAsia" w:ascii="宋体" w:hAnsi="宋体" w:eastAsia="宋体" w:cs="宋体"/>
          <w:snapToGrid w:val="0"/>
          <w:color w:val="000000"/>
          <w:spacing w:val="-3"/>
          <w:kern w:val="0"/>
          <w:position w:val="7"/>
          <w:szCs w:val="21"/>
          <w:lang w:val="en-US" w:eastAsia="zh-CN"/>
        </w:rPr>
        <w:t>记录明细如表</w:t>
      </w:r>
      <w:r>
        <w:rPr>
          <w:rFonts w:hint="default" w:ascii="Times New Roman" w:hAnsi="Times New Roman" w:cs="Times New Roman"/>
          <w:snapToGrid w:val="0"/>
          <w:color w:val="000000"/>
          <w:spacing w:val="-3"/>
          <w:kern w:val="0"/>
          <w:position w:val="7"/>
          <w:szCs w:val="21"/>
          <w:lang w:val="en-US" w:eastAsia="zh-CN"/>
        </w:rPr>
        <w:t>C</w:t>
      </w:r>
      <w:r>
        <w:rPr>
          <w:rFonts w:hint="default" w:ascii="Times New Roman" w:hAnsi="Times New Roman" w:eastAsia="宋体" w:cs="Times New Roman"/>
          <w:snapToGrid w:val="0"/>
          <w:color w:val="000000"/>
          <w:spacing w:val="-3"/>
          <w:kern w:val="0"/>
          <w:position w:val="7"/>
          <w:szCs w:val="21"/>
          <w:lang w:val="en-US" w:eastAsia="zh-CN"/>
        </w:rPr>
        <w:t>.1</w:t>
      </w:r>
      <w:r>
        <w:rPr>
          <w:rFonts w:hint="eastAsia" w:ascii="宋体" w:hAnsi="宋体" w:eastAsia="宋体" w:cs="宋体"/>
          <w:snapToGrid w:val="0"/>
          <w:color w:val="000000"/>
          <w:spacing w:val="-3"/>
          <w:kern w:val="0"/>
          <w:position w:val="7"/>
          <w:szCs w:val="21"/>
          <w:lang w:val="en-US" w:eastAsia="zh-CN"/>
        </w:rPr>
        <w:t>所示。</w:t>
      </w:r>
    </w:p>
    <w:p w14:paraId="47DF5F2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snapToGrid w:val="0"/>
          <w:color w:val="000000"/>
          <w:spacing w:val="17"/>
          <w:kern w:val="0"/>
          <w:szCs w:val="21"/>
          <w:lang w:val="en-US" w:eastAsia="zh-CN"/>
        </w:rPr>
      </w:pPr>
      <w:r>
        <w:rPr>
          <w:rFonts w:hint="default" w:ascii="Times New Roman" w:hAnsi="Times New Roman" w:eastAsia="宋体" w:cs="Times New Roman"/>
          <w:snapToGrid w:val="0"/>
          <w:color w:val="000000"/>
          <w:spacing w:val="17"/>
          <w:kern w:val="0"/>
          <w:szCs w:val="21"/>
          <w:lang w:val="en-US" w:eastAsia="zh-CN"/>
        </w:rPr>
        <w:t xml:space="preserve">表C.1 </w:t>
      </w:r>
      <w:r>
        <w:rPr>
          <w:rFonts w:hint="eastAsia" w:ascii="宋体" w:hAnsi="宋体" w:eastAsia="宋体" w:cs="宋体"/>
          <w:snapToGrid w:val="0"/>
          <w:color w:val="000000"/>
          <w:spacing w:val="17"/>
          <w:kern w:val="0"/>
          <w:szCs w:val="21"/>
          <w:lang w:val="en-US" w:eastAsia="zh-CN"/>
        </w:rPr>
        <w:t>危化品领用及盘存登记表</w:t>
      </w:r>
    </w:p>
    <w:tbl>
      <w:tblPr>
        <w:tblStyle w:val="33"/>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2"/>
        <w:gridCol w:w="1845"/>
        <w:gridCol w:w="1845"/>
        <w:gridCol w:w="1548"/>
        <w:gridCol w:w="1548"/>
        <w:gridCol w:w="1548"/>
      </w:tblGrid>
      <w:tr w14:paraId="563E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2676B067">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5EFE01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危化品名称</w:t>
            </w: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47C295EB">
            <w:pPr>
              <w:keepNext w:val="0"/>
              <w:keepLines w:val="0"/>
              <w:widowControl/>
              <w:suppressLineNumbers w:val="0"/>
              <w:spacing w:line="36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领用人签字</w:t>
            </w: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6A841C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领用数量</w:t>
            </w: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036F32C3">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库存余量</w:t>
            </w: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119DB7F9">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领用时间</w:t>
            </w:r>
          </w:p>
        </w:tc>
      </w:tr>
      <w:tr w14:paraId="67D1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2D617A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4EADD6EB">
            <w:pPr>
              <w:spacing w:line="360" w:lineRule="auto"/>
              <w:jc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7D728235">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5D4A12E4">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1C164DDE">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7104C472">
            <w:pPr>
              <w:spacing w:line="360" w:lineRule="auto"/>
              <w:jc w:val="center"/>
              <w:rPr>
                <w:rFonts w:hint="eastAsia" w:ascii="宋体" w:hAnsi="宋体" w:eastAsia="宋体" w:cs="宋体"/>
                <w:i w:val="0"/>
                <w:iCs w:val="0"/>
                <w:color w:val="000000"/>
                <w:sz w:val="18"/>
                <w:szCs w:val="18"/>
                <w:u w:val="none"/>
              </w:rPr>
            </w:pPr>
          </w:p>
        </w:tc>
      </w:tr>
      <w:tr w14:paraId="5B24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4FF477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195FC73C">
            <w:pPr>
              <w:spacing w:line="360" w:lineRule="auto"/>
              <w:jc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6DC8F56D">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05D79CC1">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331C6925">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531C3FA7">
            <w:pPr>
              <w:spacing w:line="360" w:lineRule="auto"/>
              <w:jc w:val="center"/>
              <w:rPr>
                <w:rFonts w:hint="eastAsia" w:ascii="宋体" w:hAnsi="宋体" w:eastAsia="宋体" w:cs="宋体"/>
                <w:i w:val="0"/>
                <w:iCs w:val="0"/>
                <w:color w:val="000000"/>
                <w:sz w:val="18"/>
                <w:szCs w:val="18"/>
                <w:u w:val="none"/>
              </w:rPr>
            </w:pPr>
          </w:p>
        </w:tc>
      </w:tr>
      <w:tr w14:paraId="7901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61B205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1829EDC4">
            <w:pPr>
              <w:spacing w:line="360" w:lineRule="auto"/>
              <w:jc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7FEDAE19">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242FFFA8">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1FEC8799">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62E58BA6">
            <w:pPr>
              <w:spacing w:line="360" w:lineRule="auto"/>
              <w:jc w:val="center"/>
              <w:rPr>
                <w:rFonts w:hint="eastAsia" w:ascii="宋体" w:hAnsi="宋体" w:eastAsia="宋体" w:cs="宋体"/>
                <w:i w:val="0"/>
                <w:iCs w:val="0"/>
                <w:color w:val="000000"/>
                <w:sz w:val="18"/>
                <w:szCs w:val="18"/>
                <w:u w:val="none"/>
              </w:rPr>
            </w:pPr>
          </w:p>
        </w:tc>
      </w:tr>
      <w:tr w14:paraId="1E00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255BCC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6832CB6F">
            <w:pPr>
              <w:spacing w:line="360" w:lineRule="auto"/>
              <w:jc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151FCC7C">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35F4C02D">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7E4DB696">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19AC7FDF">
            <w:pPr>
              <w:spacing w:line="360" w:lineRule="auto"/>
              <w:jc w:val="center"/>
              <w:rPr>
                <w:rFonts w:hint="eastAsia" w:ascii="宋体" w:hAnsi="宋体" w:eastAsia="宋体" w:cs="宋体"/>
                <w:i w:val="0"/>
                <w:iCs w:val="0"/>
                <w:color w:val="000000"/>
                <w:sz w:val="18"/>
                <w:szCs w:val="18"/>
                <w:u w:val="none"/>
              </w:rPr>
            </w:pPr>
          </w:p>
        </w:tc>
      </w:tr>
      <w:tr w14:paraId="30E9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793B5D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45903BE5">
            <w:pPr>
              <w:spacing w:line="360" w:lineRule="auto"/>
              <w:jc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5570FEF1">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7FAC91CF">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33020B71">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7C90E04B">
            <w:pPr>
              <w:spacing w:line="360" w:lineRule="auto"/>
              <w:jc w:val="center"/>
              <w:rPr>
                <w:rFonts w:hint="eastAsia" w:ascii="宋体" w:hAnsi="宋体" w:eastAsia="宋体" w:cs="宋体"/>
                <w:i w:val="0"/>
                <w:iCs w:val="0"/>
                <w:color w:val="000000"/>
                <w:sz w:val="18"/>
                <w:szCs w:val="18"/>
                <w:u w:val="none"/>
              </w:rPr>
            </w:pPr>
          </w:p>
        </w:tc>
      </w:tr>
      <w:tr w14:paraId="6EDC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70813C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075A7A99">
            <w:pPr>
              <w:spacing w:line="360" w:lineRule="auto"/>
              <w:jc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21A566E8">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00C67B75">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7940AAB7">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4EE77659">
            <w:pPr>
              <w:spacing w:line="360" w:lineRule="auto"/>
              <w:jc w:val="center"/>
              <w:rPr>
                <w:rFonts w:hint="eastAsia" w:ascii="宋体" w:hAnsi="宋体" w:eastAsia="宋体" w:cs="宋体"/>
                <w:i w:val="0"/>
                <w:iCs w:val="0"/>
                <w:color w:val="000000"/>
                <w:sz w:val="18"/>
                <w:szCs w:val="18"/>
                <w:u w:val="none"/>
              </w:rPr>
            </w:pPr>
          </w:p>
        </w:tc>
      </w:tr>
      <w:tr w14:paraId="5A5B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665BB1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34D33162">
            <w:pPr>
              <w:spacing w:line="360" w:lineRule="auto"/>
              <w:jc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3567D992">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64F9DCF3">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1241A472">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32C0373E">
            <w:pPr>
              <w:spacing w:line="360" w:lineRule="auto"/>
              <w:jc w:val="center"/>
              <w:rPr>
                <w:rFonts w:hint="eastAsia" w:ascii="宋体" w:hAnsi="宋体" w:eastAsia="宋体" w:cs="宋体"/>
                <w:i w:val="0"/>
                <w:iCs w:val="0"/>
                <w:color w:val="000000"/>
                <w:sz w:val="18"/>
                <w:szCs w:val="18"/>
                <w:u w:val="none"/>
              </w:rPr>
            </w:pPr>
          </w:p>
        </w:tc>
      </w:tr>
      <w:tr w14:paraId="2EE7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222C90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1B261860">
            <w:pPr>
              <w:spacing w:line="360" w:lineRule="auto"/>
              <w:jc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765C11CB">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45EA57C8">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54CF09B8">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78072850">
            <w:pPr>
              <w:spacing w:line="360" w:lineRule="auto"/>
              <w:jc w:val="center"/>
              <w:rPr>
                <w:rFonts w:hint="eastAsia" w:ascii="宋体" w:hAnsi="宋体" w:eastAsia="宋体" w:cs="宋体"/>
                <w:i w:val="0"/>
                <w:iCs w:val="0"/>
                <w:color w:val="000000"/>
                <w:sz w:val="18"/>
                <w:szCs w:val="18"/>
                <w:u w:val="none"/>
              </w:rPr>
            </w:pPr>
          </w:p>
        </w:tc>
      </w:tr>
      <w:tr w14:paraId="0F35D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3C61D2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0710FFCC">
            <w:pPr>
              <w:spacing w:line="360" w:lineRule="auto"/>
              <w:jc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7BDE61A4">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68980D83">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65BA1EE7">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2C36614E">
            <w:pPr>
              <w:spacing w:line="360" w:lineRule="auto"/>
              <w:jc w:val="center"/>
              <w:rPr>
                <w:rFonts w:hint="eastAsia" w:ascii="宋体" w:hAnsi="宋体" w:eastAsia="宋体" w:cs="宋体"/>
                <w:i w:val="0"/>
                <w:iCs w:val="0"/>
                <w:color w:val="000000"/>
                <w:sz w:val="18"/>
                <w:szCs w:val="18"/>
                <w:u w:val="none"/>
              </w:rPr>
            </w:pPr>
          </w:p>
        </w:tc>
      </w:tr>
      <w:tr w14:paraId="5EA0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257DEC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014E23B6">
            <w:pPr>
              <w:spacing w:line="360" w:lineRule="auto"/>
              <w:jc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0EAA9212">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0F060203">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7331D878">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61AB0DE9">
            <w:pPr>
              <w:spacing w:line="360" w:lineRule="auto"/>
              <w:jc w:val="center"/>
              <w:rPr>
                <w:rFonts w:hint="eastAsia" w:ascii="宋体" w:hAnsi="宋体" w:eastAsia="宋体" w:cs="宋体"/>
                <w:i w:val="0"/>
                <w:iCs w:val="0"/>
                <w:color w:val="000000"/>
                <w:sz w:val="18"/>
                <w:szCs w:val="18"/>
                <w:u w:val="none"/>
              </w:rPr>
            </w:pPr>
          </w:p>
        </w:tc>
      </w:tr>
      <w:tr w14:paraId="5EB6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4E05C9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7A21EEBD">
            <w:pPr>
              <w:spacing w:line="360" w:lineRule="auto"/>
              <w:jc w:val="center"/>
              <w:rPr>
                <w:rFonts w:hint="eastAsia" w:ascii="宋体" w:hAnsi="宋体" w:eastAsia="宋体" w:cs="宋体"/>
                <w:i w:val="0"/>
                <w:iCs w:val="0"/>
                <w:color w:val="000000"/>
                <w:sz w:val="18"/>
                <w:szCs w:val="18"/>
                <w:u w:val="none"/>
              </w:rPr>
            </w:pPr>
          </w:p>
        </w:tc>
        <w:tc>
          <w:tcPr>
            <w:tcW w:w="993" w:type="pct"/>
            <w:tcBorders>
              <w:top w:val="single" w:color="000000" w:sz="4" w:space="0"/>
              <w:left w:val="single" w:color="000000" w:sz="4" w:space="0"/>
              <w:bottom w:val="single" w:color="000000" w:sz="4" w:space="0"/>
              <w:right w:val="single" w:color="000000" w:sz="4" w:space="0"/>
            </w:tcBorders>
            <w:noWrap/>
            <w:vAlign w:val="center"/>
          </w:tcPr>
          <w:p w14:paraId="7CD7E258">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355D9560">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3FEF7F0B">
            <w:pPr>
              <w:spacing w:line="360" w:lineRule="auto"/>
              <w:jc w:val="center"/>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noWrap/>
            <w:vAlign w:val="center"/>
          </w:tcPr>
          <w:p w14:paraId="5B80DAFE">
            <w:pPr>
              <w:spacing w:line="360" w:lineRule="auto"/>
              <w:jc w:val="center"/>
              <w:rPr>
                <w:rFonts w:hint="eastAsia" w:ascii="宋体" w:hAnsi="宋体" w:eastAsia="宋体" w:cs="宋体"/>
                <w:i w:val="0"/>
                <w:iCs w:val="0"/>
                <w:color w:val="000000"/>
                <w:sz w:val="18"/>
                <w:szCs w:val="18"/>
                <w:u w:val="none"/>
              </w:rPr>
            </w:pPr>
          </w:p>
        </w:tc>
      </w:tr>
    </w:tbl>
    <w:p w14:paraId="013B5CC9">
      <w:pPr>
        <w:widowControl/>
        <w:kinsoku w:val="0"/>
        <w:autoSpaceDE w:val="0"/>
        <w:autoSpaceDN w:val="0"/>
        <w:adjustRightInd w:val="0"/>
        <w:snapToGrid w:val="0"/>
        <w:spacing w:before="68" w:line="310" w:lineRule="exact"/>
        <w:ind w:left="4223"/>
        <w:jc w:val="left"/>
        <w:textAlignment w:val="baseline"/>
        <w:rPr>
          <w:rFonts w:ascii="黑体" w:hAnsi="黑体" w:eastAsia="黑体" w:cs="黑体"/>
          <w:snapToGrid w:val="0"/>
          <w:color w:val="000000"/>
          <w:spacing w:val="-3"/>
          <w:kern w:val="0"/>
          <w:position w:val="7"/>
          <w:szCs w:val="21"/>
        </w:rPr>
        <w:sectPr>
          <w:pgSz w:w="11907" w:h="16839"/>
          <w:pgMar w:top="1418" w:right="1134" w:bottom="1134" w:left="1418" w:header="1418" w:footer="851" w:gutter="0"/>
          <w:pgNumType w:start="1"/>
          <w:cols w:space="720" w:num="1"/>
          <w:docGrid w:type="lines" w:linePitch="312" w:charSpace="0"/>
        </w:sectPr>
      </w:pPr>
    </w:p>
    <w:p w14:paraId="12FB45DF">
      <w:pPr>
        <w:widowControl/>
        <w:kinsoku w:val="0"/>
        <w:autoSpaceDE w:val="0"/>
        <w:autoSpaceDN w:val="0"/>
        <w:adjustRightInd w:val="0"/>
        <w:snapToGrid w:val="0"/>
        <w:spacing w:before="68" w:line="310" w:lineRule="exact"/>
        <w:jc w:val="center"/>
        <w:textAlignment w:val="baseline"/>
        <w:outlineLvl w:val="0"/>
        <w:rPr>
          <w:rFonts w:hint="eastAsia" w:ascii="黑体" w:hAnsi="黑体" w:eastAsia="黑体" w:cs="黑体"/>
          <w:snapToGrid w:val="0"/>
          <w:color w:val="000000"/>
          <w:kern w:val="0"/>
          <w:szCs w:val="21"/>
          <w:lang w:val="en-US" w:eastAsia="zh-CN"/>
        </w:rPr>
      </w:pPr>
      <w:bookmarkStart w:id="70" w:name="_Toc24563"/>
      <w:r>
        <w:rPr>
          <w:rFonts w:ascii="黑体" w:hAnsi="黑体" w:eastAsia="黑体" w:cs="黑体"/>
          <w:snapToGrid w:val="0"/>
          <w:color w:val="000000"/>
          <w:spacing w:val="-2"/>
          <w:kern w:val="0"/>
          <w:position w:val="7"/>
          <w:szCs w:val="21"/>
        </w:rPr>
        <w:t>附</w:t>
      </w:r>
      <w:r>
        <w:rPr>
          <w:rFonts w:ascii="黑体" w:hAnsi="黑体" w:eastAsia="黑体" w:cs="黑体"/>
          <w:snapToGrid w:val="0"/>
          <w:color w:val="000000"/>
          <w:spacing w:val="-1"/>
          <w:kern w:val="0"/>
          <w:position w:val="7"/>
          <w:szCs w:val="21"/>
        </w:rPr>
        <w:t xml:space="preserve">  录  </w:t>
      </w:r>
      <w:r>
        <w:rPr>
          <w:rFonts w:hint="eastAsia" w:ascii="黑体" w:hAnsi="黑体" w:eastAsia="黑体" w:cs="黑体"/>
          <w:snapToGrid w:val="0"/>
          <w:color w:val="000000"/>
          <w:spacing w:val="-1"/>
          <w:kern w:val="0"/>
          <w:position w:val="7"/>
          <w:szCs w:val="21"/>
          <w:lang w:val="en-US" w:eastAsia="zh-CN"/>
        </w:rPr>
        <w:t>D</w:t>
      </w:r>
      <w:bookmarkEnd w:id="70"/>
    </w:p>
    <w:p w14:paraId="0D0DAA04">
      <w:pPr>
        <w:widowControl/>
        <w:kinsoku w:val="0"/>
        <w:autoSpaceDE w:val="0"/>
        <w:autoSpaceDN w:val="0"/>
        <w:adjustRightInd w:val="0"/>
        <w:snapToGrid w:val="0"/>
        <w:spacing w:line="219" w:lineRule="auto"/>
        <w:ind w:left="3955"/>
        <w:jc w:val="left"/>
        <w:textAlignment w:val="baseline"/>
        <w:rPr>
          <w:rFonts w:ascii="黑体" w:hAnsi="黑体" w:eastAsia="黑体" w:cs="黑体"/>
          <w:snapToGrid w:val="0"/>
          <w:color w:val="000000"/>
          <w:spacing w:val="10"/>
          <w:kern w:val="0"/>
          <w:szCs w:val="21"/>
        </w:rPr>
      </w:pPr>
      <w:r>
        <w:rPr>
          <w:rFonts w:ascii="黑体" w:hAnsi="黑体" w:eastAsia="黑体" w:cs="黑体"/>
          <w:snapToGrid w:val="0"/>
          <w:color w:val="000000"/>
          <w:spacing w:val="11"/>
          <w:kern w:val="0"/>
          <w:szCs w:val="21"/>
        </w:rPr>
        <w:t>(</w:t>
      </w:r>
      <w:r>
        <w:rPr>
          <w:rFonts w:ascii="黑体" w:hAnsi="黑体" w:eastAsia="黑体" w:cs="黑体"/>
          <w:snapToGrid w:val="0"/>
          <w:color w:val="000000"/>
          <w:spacing w:val="10"/>
          <w:kern w:val="0"/>
          <w:szCs w:val="21"/>
        </w:rPr>
        <w:t>资料性附录)</w:t>
      </w:r>
    </w:p>
    <w:p w14:paraId="27E8CD9B">
      <w:pPr>
        <w:widowControl/>
        <w:kinsoku w:val="0"/>
        <w:autoSpaceDE w:val="0"/>
        <w:autoSpaceDN w:val="0"/>
        <w:adjustRightInd w:val="0"/>
        <w:snapToGrid w:val="0"/>
        <w:spacing w:line="219" w:lineRule="auto"/>
        <w:ind w:firstLine="3468" w:firstLineChars="1700"/>
        <w:jc w:val="left"/>
        <w:textAlignment w:val="baseline"/>
        <w:rPr>
          <w:rFonts w:hint="eastAsia" w:ascii="黑体" w:hAnsi="黑体" w:eastAsia="黑体" w:cs="黑体"/>
          <w:snapToGrid w:val="0"/>
          <w:color w:val="000000"/>
          <w:spacing w:val="-3"/>
          <w:kern w:val="0"/>
          <w:position w:val="7"/>
          <w:szCs w:val="21"/>
          <w:lang w:val="en-US" w:eastAsia="zh-CN"/>
        </w:rPr>
      </w:pPr>
      <w:r>
        <w:rPr>
          <w:rFonts w:hint="eastAsia" w:ascii="黑体" w:hAnsi="黑体" w:eastAsia="黑体" w:cs="黑体"/>
          <w:snapToGrid w:val="0"/>
          <w:color w:val="000000"/>
          <w:spacing w:val="-3"/>
          <w:kern w:val="0"/>
          <w:position w:val="7"/>
          <w:szCs w:val="21"/>
          <w:lang w:val="en-US" w:eastAsia="zh-CN"/>
        </w:rPr>
        <w:t>关键试剂耗材验收领用盘存记录</w:t>
      </w:r>
    </w:p>
    <w:p w14:paraId="42AFDA69">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r>
        <w:rPr>
          <w:rFonts w:hint="eastAsia"/>
          <w:lang w:val="en-US" w:eastAsia="zh-CN"/>
        </w:rPr>
        <w:t>D.1关键试剂耗材验收记录</w:t>
      </w:r>
    </w:p>
    <w:p w14:paraId="4D64FD1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3"/>
          <w:kern w:val="0"/>
          <w:position w:val="7"/>
          <w:szCs w:val="21"/>
          <w:lang w:val="en-US" w:eastAsia="zh-CN"/>
        </w:rPr>
      </w:pPr>
      <w:r>
        <w:rPr>
          <w:rFonts w:hint="eastAsia" w:ascii="黑体" w:hAnsi="黑体" w:eastAsia="黑体" w:cs="黑体"/>
          <w:snapToGrid w:val="0"/>
          <w:color w:val="000000"/>
          <w:spacing w:val="-3"/>
          <w:kern w:val="0"/>
          <w:position w:val="7"/>
          <w:szCs w:val="21"/>
          <w:lang w:val="en-US" w:eastAsia="zh-CN"/>
        </w:rPr>
        <w:t xml:space="preserve">   </w:t>
      </w:r>
      <w:r>
        <w:rPr>
          <w:rFonts w:hint="eastAsia" w:ascii="宋体" w:hAnsi="宋体" w:eastAsia="宋体" w:cs="宋体"/>
          <w:snapToGrid w:val="0"/>
          <w:color w:val="000000"/>
          <w:spacing w:val="-3"/>
          <w:kern w:val="0"/>
          <w:position w:val="7"/>
          <w:szCs w:val="21"/>
          <w:lang w:val="en-US" w:eastAsia="zh-CN"/>
        </w:rPr>
        <w:t>关键试剂耗材验收记录明细如</w:t>
      </w:r>
      <w:r>
        <w:rPr>
          <w:rFonts w:hint="default" w:ascii="Times New Roman" w:hAnsi="Times New Roman" w:eastAsia="宋体" w:cs="Times New Roman"/>
          <w:snapToGrid w:val="0"/>
          <w:color w:val="000000"/>
          <w:spacing w:val="-3"/>
          <w:kern w:val="0"/>
          <w:position w:val="7"/>
          <w:szCs w:val="21"/>
          <w:lang w:val="en-US" w:eastAsia="zh-CN"/>
        </w:rPr>
        <w:t>表D.1</w:t>
      </w:r>
      <w:r>
        <w:rPr>
          <w:rFonts w:hint="eastAsia" w:ascii="宋体" w:hAnsi="宋体" w:eastAsia="宋体" w:cs="宋体"/>
          <w:snapToGrid w:val="0"/>
          <w:color w:val="000000"/>
          <w:spacing w:val="-3"/>
          <w:kern w:val="0"/>
          <w:position w:val="7"/>
          <w:szCs w:val="21"/>
          <w:lang w:val="en-US" w:eastAsia="zh-CN"/>
        </w:rPr>
        <w:t>所示。</w:t>
      </w:r>
    </w:p>
    <w:p w14:paraId="37161A83">
      <w:pPr>
        <w:widowControl/>
        <w:kinsoku w:val="0"/>
        <w:autoSpaceDE w:val="0"/>
        <w:autoSpaceDN w:val="0"/>
        <w:adjustRightInd w:val="0"/>
        <w:snapToGrid w:val="0"/>
        <w:spacing w:line="219" w:lineRule="auto"/>
        <w:jc w:val="center"/>
        <w:textAlignment w:val="baseline"/>
        <w:rPr>
          <w:rFonts w:hint="eastAsia" w:ascii="黑体" w:hAnsi="黑体" w:eastAsia="黑体" w:cs="黑体"/>
          <w:snapToGrid w:val="0"/>
          <w:color w:val="000000"/>
          <w:spacing w:val="-3"/>
          <w:kern w:val="0"/>
          <w:position w:val="7"/>
          <w:szCs w:val="21"/>
          <w:lang w:val="en-US" w:eastAsia="zh-CN"/>
        </w:rPr>
      </w:pPr>
    </w:p>
    <w:p w14:paraId="057E2A78">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jc w:val="center"/>
        <w:textAlignment w:val="baseline"/>
        <w:rPr>
          <w:rFonts w:hint="eastAsia" w:ascii="黑体" w:hAnsi="黑体" w:eastAsia="黑体" w:cs="黑体"/>
          <w:snapToGrid w:val="0"/>
          <w:color w:val="000000"/>
          <w:spacing w:val="-3"/>
          <w:kern w:val="0"/>
          <w:position w:val="7"/>
          <w:szCs w:val="21"/>
          <w:lang w:val="en-US" w:eastAsia="zh-CN"/>
        </w:rPr>
      </w:pPr>
      <w:r>
        <w:rPr>
          <w:rFonts w:hint="default" w:ascii="Times New Roman" w:hAnsi="Times New Roman" w:eastAsia="宋体" w:cs="Times New Roman"/>
          <w:snapToGrid w:val="0"/>
          <w:color w:val="000000"/>
          <w:spacing w:val="-3"/>
          <w:kern w:val="0"/>
          <w:position w:val="7"/>
          <w:szCs w:val="21"/>
          <w:lang w:val="en-US" w:eastAsia="zh-CN"/>
        </w:rPr>
        <w:t>表D.1</w:t>
      </w:r>
      <w:r>
        <w:rPr>
          <w:rFonts w:hint="eastAsia" w:ascii="宋体" w:hAnsi="宋体" w:eastAsia="宋体" w:cs="宋体"/>
          <w:snapToGrid w:val="0"/>
          <w:color w:val="000000"/>
          <w:spacing w:val="-3"/>
          <w:kern w:val="0"/>
          <w:position w:val="7"/>
          <w:szCs w:val="21"/>
          <w:lang w:val="en-US" w:eastAsia="zh-CN"/>
        </w:rPr>
        <w:t xml:space="preserve"> 关键试剂耗材验收记录表</w:t>
      </w:r>
    </w:p>
    <w:tbl>
      <w:tblPr>
        <w:tblStyle w:val="3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806"/>
        <w:gridCol w:w="5981"/>
        <w:gridCol w:w="1208"/>
      </w:tblGrid>
      <w:tr w14:paraId="3C17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12A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57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验收项目</w:t>
            </w:r>
          </w:p>
        </w:tc>
        <w:tc>
          <w:tcPr>
            <w:tcW w:w="3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87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验收内容</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58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验收结果</w:t>
            </w:r>
          </w:p>
        </w:tc>
      </w:tr>
      <w:tr w14:paraId="7E40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2E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11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关键试剂</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76D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外观检查是否漏液污染；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标签、批号</w:t>
            </w:r>
            <w:r>
              <w:rPr>
                <w:rFonts w:hint="eastAsia" w:ascii="宋体" w:hAnsi="宋体" w:cs="宋体"/>
                <w:i w:val="0"/>
                <w:iCs w:val="0"/>
                <w:color w:val="000000"/>
                <w:kern w:val="0"/>
                <w:sz w:val="18"/>
                <w:szCs w:val="18"/>
                <w:u w:val="none"/>
                <w:lang w:val="en-US" w:eastAsia="zh-CN" w:bidi="ar"/>
              </w:rPr>
              <w:t>证书</w:t>
            </w:r>
            <w:r>
              <w:rPr>
                <w:rFonts w:hint="eastAsia" w:ascii="宋体" w:hAnsi="宋体" w:eastAsia="宋体" w:cs="宋体"/>
                <w:i w:val="0"/>
                <w:iCs w:val="0"/>
                <w:color w:val="000000"/>
                <w:kern w:val="0"/>
                <w:sz w:val="18"/>
                <w:szCs w:val="18"/>
                <w:u w:val="none"/>
                <w:lang w:val="en-US" w:eastAsia="zh-CN" w:bidi="ar"/>
              </w:rPr>
              <w:t>检查是否完整；数量检查是否匹配；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用适配的仪器对被测试剂的品质和性能测试，结合测试图谱分析研判是否涵盖本底，进而影响对应项目标准实验开展，进而分析研判分析结论</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FB9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合格/不合格</w:t>
            </w:r>
          </w:p>
        </w:tc>
      </w:tr>
      <w:tr w14:paraId="596F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33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DDA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关键耗材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例如：免疫亲和柱、固相萃取柱</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1635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外观检查是否漏液污染；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标签、批号检查是否完整；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数量检查是否匹配；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参照</w:t>
            </w:r>
            <w:r>
              <w:rPr>
                <w:rFonts w:hint="eastAsia" w:ascii="宋体" w:hAnsi="宋体" w:eastAsia="宋体" w:cs="宋体"/>
                <w:i w:val="0"/>
                <w:iCs w:val="0"/>
                <w:color w:val="000000"/>
                <w:kern w:val="0"/>
                <w:sz w:val="18"/>
                <w:szCs w:val="18"/>
                <w:u w:val="none"/>
                <w:lang w:val="en-US" w:eastAsia="zh-CN" w:bidi="ar"/>
              </w:rPr>
              <w:t>项目标准对耗材进行空白验证、柱容量验证、柱回收率验证</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F26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合格/不合格</w:t>
            </w:r>
          </w:p>
        </w:tc>
      </w:tr>
      <w:tr w14:paraId="0F89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A5E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验收意见：收货/退货</w:t>
            </w:r>
          </w:p>
        </w:tc>
      </w:tr>
      <w:tr w14:paraId="0414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083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验收人签字：</w:t>
            </w:r>
          </w:p>
        </w:tc>
        <w:tc>
          <w:tcPr>
            <w:tcW w:w="3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86A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日期：</w:t>
            </w:r>
          </w:p>
        </w:tc>
      </w:tr>
    </w:tbl>
    <w:p w14:paraId="1C01FB48">
      <w:pPr>
        <w:widowControl/>
        <w:kinsoku w:val="0"/>
        <w:autoSpaceDE w:val="0"/>
        <w:autoSpaceDN w:val="0"/>
        <w:adjustRightInd w:val="0"/>
        <w:snapToGrid w:val="0"/>
        <w:spacing w:line="219" w:lineRule="auto"/>
        <w:jc w:val="left"/>
        <w:textAlignment w:val="baseline"/>
        <w:rPr>
          <w:rFonts w:hint="default" w:ascii="黑体" w:hAnsi="黑体" w:eastAsia="黑体" w:cs="黑体"/>
          <w:snapToGrid w:val="0"/>
          <w:color w:val="000000"/>
          <w:spacing w:val="-3"/>
          <w:kern w:val="0"/>
          <w:position w:val="7"/>
          <w:szCs w:val="21"/>
          <w:lang w:val="en-US" w:eastAsia="zh-CN"/>
        </w:rPr>
      </w:pPr>
    </w:p>
    <w:p w14:paraId="673EC5CF">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firstLine="348" w:firstLineChars="200"/>
        <w:jc w:val="left"/>
        <w:textAlignment w:val="baseline"/>
        <w:rPr>
          <w:rFonts w:hint="eastAsia" w:ascii="黑体" w:hAnsi="黑体" w:eastAsia="黑体" w:cs="黑体"/>
          <w:snapToGrid w:val="0"/>
          <w:color w:val="000000"/>
          <w:spacing w:val="-3"/>
          <w:kern w:val="0"/>
          <w:position w:val="7"/>
          <w:sz w:val="18"/>
          <w:szCs w:val="18"/>
          <w:lang w:val="en-US" w:eastAsia="zh-CN"/>
        </w:rPr>
      </w:pPr>
      <w:r>
        <w:rPr>
          <w:rFonts w:hint="eastAsia" w:ascii="黑体" w:hAnsi="黑体" w:eastAsia="黑体" w:cs="黑体"/>
          <w:snapToGrid w:val="0"/>
          <w:color w:val="000000"/>
          <w:spacing w:val="-3"/>
          <w:kern w:val="0"/>
          <w:position w:val="7"/>
          <w:sz w:val="18"/>
          <w:szCs w:val="18"/>
          <w:lang w:val="en-US" w:eastAsia="zh-CN"/>
        </w:rPr>
        <w:t>示例1：</w:t>
      </w:r>
    </w:p>
    <w:p w14:paraId="500BACE6">
      <w:pPr>
        <w:pStyle w:val="2"/>
        <w:keepNext w:val="0"/>
        <w:keepLines w:val="0"/>
        <w:pageBreakBefore w:val="0"/>
        <w:wordWrap/>
        <w:overflowPunct/>
        <w:topLinePunct w:val="0"/>
        <w:bidi w:val="0"/>
        <w:adjustRightInd w:val="0"/>
        <w:spacing w:after="0" w:line="240" w:lineRule="auto"/>
        <w:ind w:left="0" w:leftChars="0" w:firstLine="348" w:firstLineChars="200"/>
        <w:rPr>
          <w:rFonts w:hint="eastAsia" w:ascii="宋体" w:hAnsi="宋体" w:cs="宋体"/>
          <w:snapToGrid w:val="0"/>
          <w:color w:val="000000"/>
          <w:spacing w:val="-3"/>
          <w:kern w:val="0"/>
          <w:position w:val="7"/>
          <w:sz w:val="18"/>
          <w:szCs w:val="18"/>
          <w:lang w:val="en-US" w:eastAsia="zh-CN"/>
        </w:rPr>
      </w:pPr>
      <w:r>
        <w:rPr>
          <w:rFonts w:hint="eastAsia" w:ascii="宋体" w:hAnsi="宋体" w:cs="宋体"/>
          <w:snapToGrid w:val="0"/>
          <w:color w:val="000000"/>
          <w:spacing w:val="-3"/>
          <w:kern w:val="0"/>
          <w:position w:val="7"/>
          <w:sz w:val="18"/>
          <w:szCs w:val="18"/>
          <w:lang w:val="en-US" w:eastAsia="zh-CN"/>
        </w:rPr>
        <w:t>正己烷验收；</w:t>
      </w:r>
    </w:p>
    <w:p w14:paraId="1E76A56D">
      <w:pPr>
        <w:pStyle w:val="2"/>
        <w:keepNext w:val="0"/>
        <w:keepLines w:val="0"/>
        <w:pageBreakBefore w:val="0"/>
        <w:wordWrap/>
        <w:overflowPunct/>
        <w:topLinePunct w:val="0"/>
        <w:bidi w:val="0"/>
        <w:adjustRightInd w:val="0"/>
        <w:spacing w:after="0" w:line="240" w:lineRule="auto"/>
        <w:ind w:left="0" w:leftChars="0" w:firstLine="348" w:firstLineChars="200"/>
        <w:rPr>
          <w:rFonts w:hint="eastAsia" w:ascii="宋体" w:hAnsi="宋体" w:cs="宋体"/>
          <w:snapToGrid w:val="0"/>
          <w:color w:val="000000"/>
          <w:spacing w:val="-3"/>
          <w:kern w:val="0"/>
          <w:position w:val="7"/>
          <w:sz w:val="18"/>
          <w:szCs w:val="18"/>
          <w:lang w:val="en-US" w:eastAsia="zh-CN"/>
        </w:rPr>
      </w:pPr>
      <w:r>
        <w:rPr>
          <w:rFonts w:hint="eastAsia" w:ascii="宋体" w:hAnsi="宋体" w:cs="宋体"/>
          <w:snapToGrid w:val="0"/>
          <w:color w:val="000000"/>
          <w:spacing w:val="-3"/>
          <w:kern w:val="0"/>
          <w:position w:val="7"/>
          <w:sz w:val="18"/>
          <w:szCs w:val="18"/>
          <w:lang w:val="en-US" w:eastAsia="zh-CN"/>
        </w:rPr>
        <w:t>外观检查：外观澄清、无杂质和沉淀；包装密封完好，无腐蚀、漏液；</w:t>
      </w:r>
    </w:p>
    <w:p w14:paraId="05C7388E">
      <w:pPr>
        <w:pStyle w:val="2"/>
        <w:keepNext w:val="0"/>
        <w:keepLines w:val="0"/>
        <w:pageBreakBefore w:val="0"/>
        <w:wordWrap/>
        <w:overflowPunct/>
        <w:topLinePunct w:val="0"/>
        <w:bidi w:val="0"/>
        <w:adjustRightInd w:val="0"/>
        <w:spacing w:after="0" w:line="240" w:lineRule="auto"/>
        <w:ind w:left="0" w:leftChars="0" w:firstLine="348" w:firstLineChars="200"/>
        <w:rPr>
          <w:rFonts w:hint="eastAsia" w:ascii="宋体" w:hAnsi="宋体" w:cs="宋体"/>
          <w:snapToGrid w:val="0"/>
          <w:color w:val="000000"/>
          <w:spacing w:val="-3"/>
          <w:kern w:val="0"/>
          <w:position w:val="7"/>
          <w:sz w:val="18"/>
          <w:szCs w:val="18"/>
          <w:lang w:val="en-US" w:eastAsia="zh-CN"/>
        </w:rPr>
      </w:pPr>
      <w:r>
        <w:rPr>
          <w:rFonts w:hint="eastAsia" w:ascii="宋体" w:hAnsi="宋体" w:cs="宋体"/>
          <w:snapToGrid w:val="0"/>
          <w:color w:val="000000"/>
          <w:spacing w:val="-3"/>
          <w:kern w:val="0"/>
          <w:position w:val="7"/>
          <w:sz w:val="18"/>
          <w:szCs w:val="18"/>
          <w:lang w:val="en-US" w:eastAsia="zh-CN"/>
        </w:rPr>
        <w:t>标签检查：标签、标识清晰，内容完整；</w:t>
      </w:r>
    </w:p>
    <w:p w14:paraId="7D0F9F9C">
      <w:pPr>
        <w:pStyle w:val="2"/>
        <w:keepNext w:val="0"/>
        <w:keepLines w:val="0"/>
        <w:pageBreakBefore w:val="0"/>
        <w:wordWrap/>
        <w:overflowPunct/>
        <w:topLinePunct w:val="0"/>
        <w:bidi w:val="0"/>
        <w:adjustRightInd w:val="0"/>
        <w:spacing w:after="0" w:line="240" w:lineRule="auto"/>
        <w:ind w:left="0" w:leftChars="0" w:firstLine="348" w:firstLineChars="200"/>
        <w:rPr>
          <w:rFonts w:hint="eastAsia" w:ascii="宋体" w:hAnsi="宋体" w:cs="宋体"/>
          <w:snapToGrid w:val="0"/>
          <w:color w:val="000000"/>
          <w:spacing w:val="-3"/>
          <w:kern w:val="0"/>
          <w:position w:val="7"/>
          <w:sz w:val="18"/>
          <w:szCs w:val="18"/>
          <w:lang w:val="en-US" w:eastAsia="zh-CN"/>
        </w:rPr>
      </w:pPr>
      <w:r>
        <w:rPr>
          <w:rFonts w:hint="eastAsia" w:ascii="宋体" w:hAnsi="宋体" w:cs="宋体"/>
          <w:snapToGrid w:val="0"/>
          <w:color w:val="000000"/>
          <w:spacing w:val="-3"/>
          <w:kern w:val="0"/>
          <w:position w:val="7"/>
          <w:sz w:val="18"/>
          <w:szCs w:val="18"/>
          <w:lang w:val="en-US" w:eastAsia="zh-CN"/>
        </w:rPr>
        <w:t>证书检查：附带有效合格批号证书；</w:t>
      </w:r>
    </w:p>
    <w:p w14:paraId="7096CD01">
      <w:pPr>
        <w:pStyle w:val="2"/>
        <w:keepNext w:val="0"/>
        <w:keepLines w:val="0"/>
        <w:pageBreakBefore w:val="0"/>
        <w:wordWrap/>
        <w:overflowPunct/>
        <w:topLinePunct w:val="0"/>
        <w:bidi w:val="0"/>
        <w:adjustRightInd w:val="0"/>
        <w:spacing w:after="0" w:line="240" w:lineRule="auto"/>
        <w:ind w:left="0" w:leftChars="0" w:firstLine="348" w:firstLineChars="200"/>
        <w:rPr>
          <w:rFonts w:hint="eastAsia" w:ascii="宋体" w:hAnsi="宋体" w:cs="宋体"/>
          <w:snapToGrid w:val="0"/>
          <w:color w:val="000000"/>
          <w:spacing w:val="-3"/>
          <w:kern w:val="0"/>
          <w:position w:val="7"/>
          <w:sz w:val="18"/>
          <w:szCs w:val="18"/>
          <w:lang w:val="en-US" w:eastAsia="zh-CN"/>
        </w:rPr>
      </w:pPr>
      <w:r>
        <w:rPr>
          <w:rFonts w:hint="eastAsia" w:ascii="宋体" w:hAnsi="宋体" w:cs="宋体"/>
          <w:snapToGrid w:val="0"/>
          <w:color w:val="000000"/>
          <w:spacing w:val="-3"/>
          <w:kern w:val="0"/>
          <w:position w:val="7"/>
          <w:sz w:val="18"/>
          <w:szCs w:val="18"/>
          <w:lang w:val="en-US" w:eastAsia="zh-CN"/>
        </w:rPr>
        <w:t>品质测试：取</w:t>
      </w:r>
      <w:r>
        <w:rPr>
          <w:rFonts w:hint="default" w:ascii="Times New Roman" w:hAnsi="Times New Roman" w:cs="Times New Roman"/>
          <w:snapToGrid w:val="0"/>
          <w:color w:val="000000"/>
          <w:spacing w:val="-3"/>
          <w:kern w:val="0"/>
          <w:position w:val="7"/>
          <w:sz w:val="18"/>
          <w:szCs w:val="18"/>
          <w:lang w:val="en-US" w:eastAsia="zh-CN"/>
        </w:rPr>
        <w:t>1ml</w:t>
      </w:r>
      <w:r>
        <w:rPr>
          <w:rFonts w:hint="eastAsia" w:ascii="宋体" w:hAnsi="宋体" w:cs="宋体"/>
          <w:snapToGrid w:val="0"/>
          <w:color w:val="000000"/>
          <w:spacing w:val="-3"/>
          <w:kern w:val="0"/>
          <w:position w:val="7"/>
          <w:sz w:val="18"/>
          <w:szCs w:val="18"/>
          <w:lang w:val="en-US" w:eastAsia="zh-CN"/>
        </w:rPr>
        <w:t>试剂，经由液相色谱仪上机测定，进行本底研判。</w:t>
      </w:r>
    </w:p>
    <w:p w14:paraId="6DF1FDB5">
      <w:pPr>
        <w:pStyle w:val="2"/>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0" w:leftChars="0" w:firstLine="348" w:firstLineChars="200"/>
        <w:textAlignment w:val="auto"/>
        <w:rPr>
          <w:rFonts w:hint="eastAsia" w:ascii="黑体" w:hAnsi="黑体" w:eastAsia="黑体" w:cs="黑体"/>
          <w:snapToGrid w:val="0"/>
          <w:color w:val="000000"/>
          <w:spacing w:val="-3"/>
          <w:kern w:val="0"/>
          <w:position w:val="7"/>
          <w:sz w:val="18"/>
          <w:szCs w:val="18"/>
          <w:lang w:val="en-US" w:eastAsia="zh-CN"/>
        </w:rPr>
      </w:pPr>
      <w:r>
        <w:rPr>
          <w:rFonts w:hint="eastAsia" w:ascii="黑体" w:hAnsi="黑体" w:eastAsia="黑体" w:cs="黑体"/>
          <w:snapToGrid w:val="0"/>
          <w:color w:val="000000"/>
          <w:spacing w:val="-3"/>
          <w:kern w:val="0"/>
          <w:position w:val="7"/>
          <w:sz w:val="18"/>
          <w:szCs w:val="18"/>
          <w:lang w:val="en-US" w:eastAsia="zh-CN"/>
        </w:rPr>
        <w:t>示例2：</w:t>
      </w:r>
    </w:p>
    <w:p w14:paraId="47E5F499">
      <w:pPr>
        <w:pStyle w:val="2"/>
        <w:keepNext w:val="0"/>
        <w:keepLines w:val="0"/>
        <w:pageBreakBefore w:val="0"/>
        <w:wordWrap/>
        <w:overflowPunct/>
        <w:topLinePunct w:val="0"/>
        <w:bidi w:val="0"/>
        <w:adjustRightInd w:val="0"/>
        <w:spacing w:after="0" w:line="240" w:lineRule="auto"/>
        <w:ind w:left="0" w:leftChars="0" w:firstLine="348" w:firstLineChars="200"/>
        <w:rPr>
          <w:rFonts w:hint="eastAsia" w:ascii="宋体" w:hAnsi="宋体" w:eastAsia="宋体" w:cs="宋体"/>
          <w:snapToGrid w:val="0"/>
          <w:color w:val="000000"/>
          <w:spacing w:val="-3"/>
          <w:kern w:val="0"/>
          <w:position w:val="7"/>
          <w:sz w:val="18"/>
          <w:szCs w:val="18"/>
          <w:lang w:val="en-US" w:eastAsia="zh-CN"/>
        </w:rPr>
      </w:pPr>
      <w:r>
        <w:rPr>
          <w:rFonts w:hint="eastAsia" w:ascii="宋体" w:hAnsi="宋体" w:eastAsia="宋体" w:cs="宋体"/>
          <w:snapToGrid w:val="0"/>
          <w:color w:val="000000"/>
          <w:spacing w:val="-3"/>
          <w:kern w:val="0"/>
          <w:position w:val="7"/>
          <w:sz w:val="18"/>
          <w:szCs w:val="18"/>
          <w:lang w:val="en-US" w:eastAsia="zh-CN"/>
        </w:rPr>
        <w:t>黄曲霉毒素</w:t>
      </w:r>
      <w:r>
        <w:rPr>
          <w:rFonts w:hint="default" w:ascii="Times New Roman" w:hAnsi="Times New Roman" w:eastAsia="宋体" w:cs="Times New Roman"/>
          <w:snapToGrid w:val="0"/>
          <w:color w:val="000000"/>
          <w:spacing w:val="-3"/>
          <w:kern w:val="0"/>
          <w:position w:val="7"/>
          <w:sz w:val="18"/>
          <w:szCs w:val="18"/>
          <w:lang w:val="en-US" w:eastAsia="zh-CN"/>
        </w:rPr>
        <w:t>B1</w:t>
      </w:r>
      <w:r>
        <w:rPr>
          <w:rFonts w:hint="eastAsia" w:ascii="宋体" w:hAnsi="宋体" w:eastAsia="宋体" w:cs="宋体"/>
          <w:snapToGrid w:val="0"/>
          <w:color w:val="000000"/>
          <w:spacing w:val="-3"/>
          <w:kern w:val="0"/>
          <w:position w:val="7"/>
          <w:sz w:val="18"/>
          <w:szCs w:val="18"/>
          <w:lang w:val="en-US" w:eastAsia="zh-CN"/>
        </w:rPr>
        <w:t>免疫亲和柱验收：</w:t>
      </w:r>
    </w:p>
    <w:p w14:paraId="237114E8">
      <w:pPr>
        <w:pStyle w:val="2"/>
        <w:keepNext w:val="0"/>
        <w:keepLines w:val="0"/>
        <w:pageBreakBefore w:val="0"/>
        <w:wordWrap/>
        <w:overflowPunct/>
        <w:topLinePunct w:val="0"/>
        <w:bidi w:val="0"/>
        <w:adjustRightInd w:val="0"/>
        <w:spacing w:after="0" w:line="240" w:lineRule="auto"/>
        <w:ind w:left="0" w:leftChars="0" w:firstLine="348" w:firstLineChars="200"/>
        <w:rPr>
          <w:rFonts w:hint="eastAsia" w:ascii="宋体" w:hAnsi="宋体" w:cs="宋体"/>
          <w:snapToGrid w:val="0"/>
          <w:color w:val="000000"/>
          <w:spacing w:val="-3"/>
          <w:kern w:val="0"/>
          <w:position w:val="7"/>
          <w:sz w:val="18"/>
          <w:szCs w:val="18"/>
          <w:lang w:val="en-US" w:eastAsia="zh-CN"/>
        </w:rPr>
      </w:pPr>
      <w:r>
        <w:rPr>
          <w:rFonts w:hint="eastAsia" w:ascii="宋体" w:hAnsi="宋体" w:cs="宋体"/>
          <w:snapToGrid w:val="0"/>
          <w:color w:val="000000"/>
          <w:spacing w:val="-3"/>
          <w:kern w:val="0"/>
          <w:position w:val="7"/>
          <w:sz w:val="18"/>
          <w:szCs w:val="18"/>
          <w:lang w:val="en-US" w:eastAsia="zh-CN"/>
        </w:rPr>
        <w:t>外观检查：包装密封完好，无腐蚀、漏液；</w:t>
      </w:r>
    </w:p>
    <w:p w14:paraId="540214B4">
      <w:pPr>
        <w:pStyle w:val="2"/>
        <w:keepNext w:val="0"/>
        <w:keepLines w:val="0"/>
        <w:pageBreakBefore w:val="0"/>
        <w:wordWrap/>
        <w:overflowPunct/>
        <w:topLinePunct w:val="0"/>
        <w:bidi w:val="0"/>
        <w:adjustRightInd w:val="0"/>
        <w:spacing w:after="0" w:line="240" w:lineRule="auto"/>
        <w:ind w:left="0" w:leftChars="0" w:firstLine="348" w:firstLineChars="200"/>
        <w:rPr>
          <w:rFonts w:hint="eastAsia" w:ascii="宋体" w:hAnsi="宋体" w:cs="宋体"/>
          <w:snapToGrid w:val="0"/>
          <w:color w:val="000000"/>
          <w:spacing w:val="-3"/>
          <w:kern w:val="0"/>
          <w:position w:val="7"/>
          <w:sz w:val="18"/>
          <w:szCs w:val="18"/>
          <w:lang w:val="en-US" w:eastAsia="zh-CN"/>
        </w:rPr>
      </w:pPr>
      <w:r>
        <w:rPr>
          <w:rFonts w:hint="eastAsia" w:ascii="宋体" w:hAnsi="宋体" w:cs="宋体"/>
          <w:snapToGrid w:val="0"/>
          <w:color w:val="000000"/>
          <w:spacing w:val="-3"/>
          <w:kern w:val="0"/>
          <w:position w:val="7"/>
          <w:sz w:val="18"/>
          <w:szCs w:val="18"/>
          <w:lang w:val="en-US" w:eastAsia="zh-CN"/>
        </w:rPr>
        <w:t>标签检查：标签、标识清晰，内容完整；</w:t>
      </w:r>
    </w:p>
    <w:p w14:paraId="42891465">
      <w:pPr>
        <w:pStyle w:val="2"/>
        <w:keepNext w:val="0"/>
        <w:keepLines w:val="0"/>
        <w:pageBreakBefore w:val="0"/>
        <w:wordWrap/>
        <w:overflowPunct/>
        <w:topLinePunct w:val="0"/>
        <w:bidi w:val="0"/>
        <w:adjustRightInd w:val="0"/>
        <w:spacing w:after="0" w:line="240" w:lineRule="auto"/>
        <w:ind w:left="0" w:leftChars="0" w:firstLine="348" w:firstLineChars="200"/>
        <w:rPr>
          <w:rFonts w:hint="eastAsia" w:ascii="宋体" w:hAnsi="宋体" w:cs="宋体"/>
          <w:snapToGrid w:val="0"/>
          <w:color w:val="000000"/>
          <w:spacing w:val="-3"/>
          <w:kern w:val="0"/>
          <w:position w:val="7"/>
          <w:sz w:val="18"/>
          <w:szCs w:val="18"/>
          <w:lang w:val="en-US" w:eastAsia="zh-CN"/>
        </w:rPr>
      </w:pPr>
      <w:r>
        <w:rPr>
          <w:rFonts w:hint="eastAsia" w:ascii="宋体" w:hAnsi="宋体" w:cs="宋体"/>
          <w:snapToGrid w:val="0"/>
          <w:color w:val="000000"/>
          <w:spacing w:val="-3"/>
          <w:kern w:val="0"/>
          <w:position w:val="7"/>
          <w:sz w:val="18"/>
          <w:szCs w:val="18"/>
          <w:lang w:val="en-US" w:eastAsia="zh-CN"/>
        </w:rPr>
        <w:t>证书检查：附带有效合格批号证书；</w:t>
      </w:r>
    </w:p>
    <w:p w14:paraId="1C1B094F">
      <w:pPr>
        <w:pStyle w:val="2"/>
        <w:keepNext w:val="0"/>
        <w:keepLines w:val="0"/>
        <w:pageBreakBefore w:val="0"/>
        <w:widowControl w:val="0"/>
        <w:kinsoku/>
        <w:wordWrap/>
        <w:overflowPunct/>
        <w:topLinePunct w:val="0"/>
        <w:autoSpaceDE/>
        <w:autoSpaceDN/>
        <w:bidi w:val="0"/>
        <w:adjustRightInd w:val="0"/>
        <w:snapToGrid/>
        <w:spacing w:after="0" w:line="240" w:lineRule="auto"/>
        <w:ind w:left="0" w:leftChars="0" w:firstLine="348" w:firstLineChars="200"/>
        <w:textAlignment w:val="auto"/>
        <w:rPr>
          <w:rFonts w:hint="eastAsia" w:ascii="宋体" w:hAnsi="宋体" w:cs="宋体"/>
          <w:snapToGrid w:val="0"/>
          <w:color w:val="000000"/>
          <w:spacing w:val="-3"/>
          <w:kern w:val="0"/>
          <w:position w:val="7"/>
          <w:sz w:val="18"/>
          <w:szCs w:val="18"/>
          <w:lang w:val="en-US" w:eastAsia="zh-CN"/>
        </w:rPr>
      </w:pPr>
      <w:r>
        <w:rPr>
          <w:rFonts w:hint="eastAsia" w:ascii="宋体" w:hAnsi="宋体" w:cs="宋体"/>
          <w:snapToGrid w:val="0"/>
          <w:color w:val="000000"/>
          <w:spacing w:val="-3"/>
          <w:kern w:val="0"/>
          <w:position w:val="7"/>
          <w:sz w:val="18"/>
          <w:szCs w:val="18"/>
          <w:lang w:val="en-US" w:eastAsia="zh-CN"/>
        </w:rPr>
        <w:t>品质测试：</w:t>
      </w:r>
    </w:p>
    <w:p w14:paraId="30D1189A">
      <w:pPr>
        <w:pStyle w:val="2"/>
        <w:keepNext w:val="0"/>
        <w:keepLines w:val="0"/>
        <w:pageBreakBefore w:val="0"/>
        <w:widowControl w:val="0"/>
        <w:kinsoku/>
        <w:wordWrap/>
        <w:overflowPunct/>
        <w:topLinePunct w:val="0"/>
        <w:autoSpaceDE/>
        <w:autoSpaceDN/>
        <w:bidi w:val="0"/>
        <w:adjustRightInd w:val="0"/>
        <w:snapToGrid/>
        <w:spacing w:after="0" w:line="240" w:lineRule="auto"/>
        <w:ind w:left="0" w:leftChars="0" w:firstLine="348" w:firstLineChars="200"/>
        <w:textAlignment w:val="auto"/>
        <w:rPr>
          <w:rFonts w:hint="eastAsia" w:ascii="宋体" w:hAnsi="宋体" w:cs="宋体"/>
          <w:snapToGrid w:val="0"/>
          <w:color w:val="000000"/>
          <w:spacing w:val="-3"/>
          <w:kern w:val="0"/>
          <w:position w:val="7"/>
          <w:sz w:val="18"/>
          <w:szCs w:val="18"/>
          <w:lang w:val="en-US" w:eastAsia="zh-CN"/>
        </w:rPr>
      </w:pPr>
      <w:r>
        <w:rPr>
          <w:rFonts w:hint="default" w:ascii="Times New Roman" w:hAnsi="Times New Roman" w:cs="Times New Roman"/>
          <w:snapToGrid w:val="0"/>
          <w:color w:val="000000"/>
          <w:spacing w:val="-3"/>
          <w:kern w:val="0"/>
          <w:position w:val="7"/>
          <w:sz w:val="18"/>
          <w:szCs w:val="18"/>
          <w:lang w:val="en-US" w:eastAsia="zh-CN"/>
        </w:rPr>
        <w:t>1</w:t>
      </w:r>
      <w:r>
        <w:rPr>
          <w:rFonts w:hint="eastAsia" w:ascii="宋体" w:hAnsi="宋体" w:cs="宋体"/>
          <w:snapToGrid w:val="0"/>
          <w:color w:val="000000"/>
          <w:spacing w:val="-3"/>
          <w:kern w:val="0"/>
          <w:position w:val="7"/>
          <w:sz w:val="18"/>
          <w:szCs w:val="18"/>
          <w:lang w:val="en-US" w:eastAsia="zh-CN"/>
        </w:rPr>
        <w:t>柱容量验证：在</w:t>
      </w:r>
      <w:r>
        <w:rPr>
          <w:rFonts w:hint="default" w:ascii="Times New Roman" w:hAnsi="Times New Roman" w:cs="Times New Roman"/>
          <w:snapToGrid w:val="0"/>
          <w:color w:val="000000"/>
          <w:spacing w:val="-3"/>
          <w:kern w:val="0"/>
          <w:position w:val="7"/>
          <w:sz w:val="18"/>
          <w:szCs w:val="18"/>
          <w:lang w:val="en-US" w:eastAsia="zh-CN"/>
        </w:rPr>
        <w:t>30ml</w:t>
      </w:r>
      <w:r>
        <w:rPr>
          <w:rFonts w:hint="eastAsia" w:ascii="宋体" w:hAnsi="宋体" w:cs="宋体"/>
          <w:snapToGrid w:val="0"/>
          <w:color w:val="000000"/>
          <w:spacing w:val="-3"/>
          <w:kern w:val="0"/>
          <w:position w:val="7"/>
          <w:sz w:val="18"/>
          <w:szCs w:val="18"/>
          <w:lang w:val="en-US" w:eastAsia="zh-CN"/>
        </w:rPr>
        <w:t xml:space="preserve">的1% </w:t>
      </w:r>
      <w:r>
        <w:rPr>
          <w:rFonts w:hint="default" w:ascii="Times New Roman" w:hAnsi="Times New Roman" w:cs="Times New Roman"/>
          <w:snapToGrid w:val="0"/>
          <w:color w:val="000000"/>
          <w:spacing w:val="-3"/>
          <w:kern w:val="0"/>
          <w:position w:val="7"/>
          <w:sz w:val="18"/>
          <w:szCs w:val="18"/>
          <w:lang w:val="en-US" w:eastAsia="zh-CN"/>
        </w:rPr>
        <w:t>TritionX-100</w:t>
      </w:r>
      <w:r>
        <w:rPr>
          <w:rFonts w:hint="eastAsia" w:ascii="宋体" w:hAnsi="宋体" w:cs="宋体"/>
          <w:snapToGrid w:val="0"/>
          <w:color w:val="000000"/>
          <w:spacing w:val="-3"/>
          <w:kern w:val="0"/>
          <w:position w:val="7"/>
          <w:sz w:val="18"/>
          <w:szCs w:val="18"/>
          <w:lang w:val="en-US" w:eastAsia="zh-CN"/>
        </w:rPr>
        <w:t>（或吐温</w:t>
      </w:r>
      <w:r>
        <w:rPr>
          <w:rFonts w:hint="default" w:ascii="Times New Roman" w:hAnsi="Times New Roman" w:cs="Times New Roman"/>
          <w:snapToGrid w:val="0"/>
          <w:color w:val="000000"/>
          <w:spacing w:val="-3"/>
          <w:kern w:val="0"/>
          <w:position w:val="7"/>
          <w:sz w:val="18"/>
          <w:szCs w:val="18"/>
          <w:lang w:val="en-US" w:eastAsia="zh-CN"/>
        </w:rPr>
        <w:t>-20）-PBS</w:t>
      </w:r>
      <w:r>
        <w:rPr>
          <w:rFonts w:hint="eastAsia" w:ascii="宋体" w:hAnsi="宋体" w:cs="宋体"/>
          <w:snapToGrid w:val="0"/>
          <w:color w:val="000000"/>
          <w:spacing w:val="-3"/>
          <w:kern w:val="0"/>
          <w:position w:val="7"/>
          <w:sz w:val="18"/>
          <w:szCs w:val="18"/>
          <w:lang w:val="en-US" w:eastAsia="zh-CN"/>
        </w:rPr>
        <w:t>中加入</w:t>
      </w:r>
      <w:r>
        <w:rPr>
          <w:rFonts w:hint="default" w:ascii="Times New Roman" w:hAnsi="Times New Roman" w:cs="Times New Roman"/>
          <w:snapToGrid w:val="0"/>
          <w:color w:val="000000"/>
          <w:spacing w:val="-3"/>
          <w:kern w:val="0"/>
          <w:position w:val="7"/>
          <w:sz w:val="18"/>
          <w:szCs w:val="18"/>
          <w:lang w:val="en-US" w:eastAsia="zh-CN"/>
        </w:rPr>
        <w:t>600ng</w:t>
      </w:r>
      <w:r>
        <w:rPr>
          <w:rFonts w:hint="eastAsia" w:ascii="宋体" w:hAnsi="宋体" w:cs="宋体"/>
          <w:snapToGrid w:val="0"/>
          <w:color w:val="000000"/>
          <w:spacing w:val="-3"/>
          <w:kern w:val="0"/>
          <w:position w:val="7"/>
          <w:sz w:val="18"/>
          <w:szCs w:val="18"/>
          <w:lang w:val="en-US" w:eastAsia="zh-CN"/>
        </w:rPr>
        <w:t xml:space="preserve"> 黄曲霉毒素</w:t>
      </w:r>
      <w:r>
        <w:rPr>
          <w:rFonts w:hint="default" w:ascii="Times New Roman" w:hAnsi="Times New Roman" w:cs="Times New Roman"/>
          <w:snapToGrid w:val="0"/>
          <w:color w:val="000000"/>
          <w:spacing w:val="-3"/>
          <w:kern w:val="0"/>
          <w:position w:val="7"/>
          <w:sz w:val="18"/>
          <w:szCs w:val="18"/>
          <w:lang w:val="en-US" w:eastAsia="zh-CN"/>
        </w:rPr>
        <w:t>B1</w:t>
      </w:r>
      <w:r>
        <w:rPr>
          <w:rFonts w:hint="eastAsia" w:ascii="宋体" w:hAnsi="宋体" w:cs="宋体"/>
          <w:snapToGrid w:val="0"/>
          <w:color w:val="000000"/>
          <w:spacing w:val="-3"/>
          <w:kern w:val="0"/>
          <w:position w:val="7"/>
          <w:sz w:val="18"/>
          <w:szCs w:val="18"/>
          <w:lang w:val="en-US" w:eastAsia="zh-CN"/>
        </w:rPr>
        <w:t>标准储备溶液，充分混匀，分别取同一批次</w:t>
      </w:r>
      <w:r>
        <w:rPr>
          <w:rFonts w:hint="default" w:ascii="Times New Roman" w:hAnsi="Times New Roman" w:cs="Times New Roman"/>
          <w:snapToGrid w:val="0"/>
          <w:color w:val="000000"/>
          <w:spacing w:val="-3"/>
          <w:kern w:val="0"/>
          <w:position w:val="7"/>
          <w:sz w:val="18"/>
          <w:szCs w:val="18"/>
          <w:lang w:val="en-US" w:eastAsia="zh-CN"/>
        </w:rPr>
        <w:t>3</w:t>
      </w:r>
      <w:r>
        <w:rPr>
          <w:rFonts w:hint="eastAsia" w:ascii="宋体" w:hAnsi="宋体" w:cs="宋体"/>
          <w:snapToGrid w:val="0"/>
          <w:color w:val="000000"/>
          <w:spacing w:val="-3"/>
          <w:kern w:val="0"/>
          <w:position w:val="7"/>
          <w:sz w:val="18"/>
          <w:szCs w:val="18"/>
          <w:lang w:val="en-US" w:eastAsia="zh-CN"/>
        </w:rPr>
        <w:t>根免疫亲和柱，每根柱的上样量为</w:t>
      </w:r>
      <w:r>
        <w:rPr>
          <w:rFonts w:hint="default" w:ascii="Times New Roman" w:hAnsi="Times New Roman" w:cs="Times New Roman"/>
          <w:snapToGrid w:val="0"/>
          <w:color w:val="000000"/>
          <w:spacing w:val="-3"/>
          <w:kern w:val="0"/>
          <w:position w:val="7"/>
          <w:sz w:val="18"/>
          <w:szCs w:val="18"/>
          <w:lang w:val="en-US" w:eastAsia="zh-CN"/>
        </w:rPr>
        <w:t>10ml</w:t>
      </w:r>
      <w:r>
        <w:rPr>
          <w:rFonts w:hint="eastAsia" w:ascii="宋体" w:hAnsi="宋体" w:cs="宋体"/>
          <w:snapToGrid w:val="0"/>
          <w:color w:val="000000"/>
          <w:spacing w:val="-3"/>
          <w:kern w:val="0"/>
          <w:position w:val="7"/>
          <w:sz w:val="18"/>
          <w:szCs w:val="18"/>
          <w:lang w:val="en-US" w:eastAsia="zh-CN"/>
        </w:rPr>
        <w:t>。经上样、淋洗、洗脱，收集洗脱液，用氮气吹干至</w:t>
      </w:r>
      <w:r>
        <w:rPr>
          <w:rFonts w:hint="default" w:ascii="Times New Roman" w:hAnsi="Times New Roman" w:cs="Times New Roman"/>
          <w:snapToGrid w:val="0"/>
          <w:color w:val="000000"/>
          <w:spacing w:val="-3"/>
          <w:kern w:val="0"/>
          <w:position w:val="7"/>
          <w:sz w:val="18"/>
          <w:szCs w:val="18"/>
          <w:lang w:val="en-US" w:eastAsia="zh-CN"/>
        </w:rPr>
        <w:t>1ml</w:t>
      </w:r>
      <w:r>
        <w:rPr>
          <w:rFonts w:hint="eastAsia" w:ascii="宋体" w:hAnsi="宋体" w:cs="宋体"/>
          <w:snapToGrid w:val="0"/>
          <w:color w:val="000000"/>
          <w:spacing w:val="-3"/>
          <w:kern w:val="0"/>
          <w:position w:val="7"/>
          <w:sz w:val="18"/>
          <w:szCs w:val="18"/>
          <w:lang w:val="en-US" w:eastAsia="zh-CN"/>
        </w:rPr>
        <w:t>，用初始流动相定容至</w:t>
      </w:r>
      <w:r>
        <w:rPr>
          <w:rFonts w:hint="default" w:ascii="Times New Roman" w:hAnsi="Times New Roman" w:cs="Times New Roman"/>
          <w:snapToGrid w:val="0"/>
          <w:color w:val="000000"/>
          <w:spacing w:val="-3"/>
          <w:kern w:val="0"/>
          <w:position w:val="7"/>
          <w:sz w:val="18"/>
          <w:szCs w:val="18"/>
          <w:lang w:val="en-US" w:eastAsia="zh-CN"/>
        </w:rPr>
        <w:t>10ml</w:t>
      </w:r>
      <w:r>
        <w:rPr>
          <w:rFonts w:hint="eastAsia" w:ascii="宋体" w:hAnsi="宋体" w:cs="宋体"/>
          <w:snapToGrid w:val="0"/>
          <w:color w:val="000000"/>
          <w:spacing w:val="-3"/>
          <w:kern w:val="0"/>
          <w:position w:val="7"/>
          <w:sz w:val="18"/>
          <w:szCs w:val="18"/>
          <w:lang w:val="en-US" w:eastAsia="zh-CN"/>
        </w:rPr>
        <w:t>，经液相色谱仪分离测定黄曲霉毒素B1的含量。结果判定：黄曲霉毒素</w:t>
      </w:r>
      <w:r>
        <w:rPr>
          <w:rFonts w:hint="default" w:ascii="Times New Roman" w:hAnsi="Times New Roman" w:cs="Times New Roman"/>
          <w:snapToGrid w:val="0"/>
          <w:color w:val="000000"/>
          <w:spacing w:val="-3"/>
          <w:kern w:val="0"/>
          <w:position w:val="7"/>
          <w:sz w:val="18"/>
          <w:szCs w:val="18"/>
          <w:lang w:val="en-US" w:eastAsia="zh-CN"/>
        </w:rPr>
        <w:t>B1≥160ng</w:t>
      </w:r>
      <w:r>
        <w:rPr>
          <w:rFonts w:hint="eastAsia" w:ascii="宋体" w:hAnsi="宋体" w:cs="宋体"/>
          <w:snapToGrid w:val="0"/>
          <w:color w:val="000000"/>
          <w:spacing w:val="-3"/>
          <w:kern w:val="0"/>
          <w:position w:val="7"/>
          <w:sz w:val="18"/>
          <w:szCs w:val="18"/>
          <w:lang w:val="en-US" w:eastAsia="zh-CN"/>
        </w:rPr>
        <w:t>，为合格可用产品。</w:t>
      </w:r>
    </w:p>
    <w:p w14:paraId="1EB72203">
      <w:pPr>
        <w:pStyle w:val="2"/>
        <w:keepNext w:val="0"/>
        <w:keepLines w:val="0"/>
        <w:pageBreakBefore w:val="0"/>
        <w:widowControl w:val="0"/>
        <w:kinsoku/>
        <w:wordWrap/>
        <w:overflowPunct/>
        <w:topLinePunct w:val="0"/>
        <w:autoSpaceDE/>
        <w:autoSpaceDN/>
        <w:bidi w:val="0"/>
        <w:adjustRightInd w:val="0"/>
        <w:snapToGrid/>
        <w:spacing w:after="0" w:line="240" w:lineRule="auto"/>
        <w:ind w:left="0" w:leftChars="0" w:firstLine="348" w:firstLineChars="200"/>
        <w:textAlignment w:val="auto"/>
        <w:rPr>
          <w:rFonts w:hint="default" w:ascii="黑体" w:hAnsi="黑体" w:eastAsia="黑体" w:cs="黑体"/>
          <w:snapToGrid w:val="0"/>
          <w:color w:val="000000"/>
          <w:spacing w:val="-3"/>
          <w:kern w:val="0"/>
          <w:position w:val="7"/>
          <w:sz w:val="18"/>
          <w:szCs w:val="18"/>
          <w:lang w:val="en-US" w:eastAsia="zh-CN"/>
        </w:rPr>
      </w:pPr>
      <w:r>
        <w:rPr>
          <w:rFonts w:hint="default" w:ascii="Times New Roman" w:hAnsi="Times New Roman" w:cs="Times New Roman"/>
          <w:snapToGrid w:val="0"/>
          <w:color w:val="000000"/>
          <w:spacing w:val="-3"/>
          <w:kern w:val="0"/>
          <w:position w:val="7"/>
          <w:sz w:val="18"/>
          <w:szCs w:val="18"/>
          <w:lang w:val="en-US" w:eastAsia="zh-CN"/>
        </w:rPr>
        <w:t>2.</w:t>
      </w:r>
      <w:r>
        <w:rPr>
          <w:rFonts w:hint="eastAsia" w:ascii="宋体" w:hAnsi="宋体" w:cs="宋体"/>
          <w:snapToGrid w:val="0"/>
          <w:color w:val="000000"/>
          <w:spacing w:val="-3"/>
          <w:kern w:val="0"/>
          <w:position w:val="7"/>
          <w:sz w:val="18"/>
          <w:szCs w:val="18"/>
          <w:lang w:val="en-US" w:eastAsia="zh-CN"/>
        </w:rPr>
        <w:t>柱回收率验证：前处理步骤通柱容量验证。结果判定：黄曲霉毒素</w:t>
      </w:r>
      <w:r>
        <w:rPr>
          <w:rFonts w:hint="default" w:ascii="Times New Roman" w:hAnsi="Times New Roman" w:cs="Times New Roman"/>
          <w:snapToGrid w:val="0"/>
          <w:color w:val="000000"/>
          <w:spacing w:val="-3"/>
          <w:kern w:val="0"/>
          <w:position w:val="7"/>
          <w:sz w:val="18"/>
          <w:szCs w:val="18"/>
          <w:lang w:val="en-US" w:eastAsia="zh-CN"/>
        </w:rPr>
        <w:t>B1≥160ng</w:t>
      </w:r>
      <w:r>
        <w:rPr>
          <w:rFonts w:hint="eastAsia" w:ascii="宋体" w:hAnsi="宋体" w:cs="宋体"/>
          <w:snapToGrid w:val="0"/>
          <w:color w:val="000000"/>
          <w:spacing w:val="-3"/>
          <w:kern w:val="0"/>
          <w:position w:val="7"/>
          <w:sz w:val="18"/>
          <w:szCs w:val="18"/>
          <w:lang w:val="en-US" w:eastAsia="zh-CN"/>
        </w:rPr>
        <w:t>，即回收率</w:t>
      </w:r>
      <w:r>
        <w:rPr>
          <w:rFonts w:hint="default" w:ascii="Times New Roman" w:hAnsi="Times New Roman" w:cs="Times New Roman"/>
          <w:snapToGrid w:val="0"/>
          <w:color w:val="000000"/>
          <w:spacing w:val="-3"/>
          <w:kern w:val="0"/>
          <w:position w:val="7"/>
          <w:sz w:val="18"/>
          <w:szCs w:val="18"/>
          <w:lang w:val="en-US" w:eastAsia="zh-CN"/>
        </w:rPr>
        <w:t>≥80</w:t>
      </w:r>
      <w:r>
        <w:rPr>
          <w:rFonts w:hint="eastAsia" w:ascii="宋体" w:hAnsi="宋体" w:cs="宋体"/>
          <w:snapToGrid w:val="0"/>
          <w:color w:val="000000"/>
          <w:spacing w:val="-3"/>
          <w:kern w:val="0"/>
          <w:position w:val="7"/>
          <w:sz w:val="18"/>
          <w:szCs w:val="18"/>
          <w:lang w:val="en-US" w:eastAsia="zh-CN"/>
        </w:rPr>
        <w:t>%，为合格可用产品。</w:t>
      </w:r>
    </w:p>
    <w:p w14:paraId="071020B8">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r>
        <w:rPr>
          <w:rFonts w:hint="eastAsia"/>
          <w:lang w:val="en-US" w:eastAsia="zh-CN"/>
        </w:rPr>
        <w:t>D.2关键试剂耗材领用记录</w:t>
      </w:r>
    </w:p>
    <w:p w14:paraId="7A9561A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黑体" w:hAnsi="黑体" w:eastAsia="黑体" w:cs="黑体"/>
          <w:snapToGrid w:val="0"/>
          <w:color w:val="000000"/>
          <w:spacing w:val="-3"/>
          <w:kern w:val="0"/>
          <w:position w:val="7"/>
          <w:szCs w:val="21"/>
          <w:lang w:val="en-US" w:eastAsia="zh-CN"/>
        </w:rPr>
      </w:pPr>
      <w:r>
        <w:rPr>
          <w:rFonts w:hint="eastAsia" w:ascii="黑体" w:hAnsi="黑体" w:eastAsia="黑体" w:cs="黑体"/>
          <w:snapToGrid w:val="0"/>
          <w:color w:val="000000"/>
          <w:spacing w:val="-3"/>
          <w:kern w:val="0"/>
          <w:position w:val="7"/>
          <w:szCs w:val="21"/>
          <w:lang w:val="en-US" w:eastAsia="zh-CN"/>
        </w:rPr>
        <w:t xml:space="preserve">   </w:t>
      </w:r>
      <w:r>
        <w:rPr>
          <w:rFonts w:hint="eastAsia" w:ascii="宋体" w:hAnsi="宋体" w:eastAsia="宋体" w:cs="宋体"/>
          <w:snapToGrid w:val="0"/>
          <w:color w:val="000000"/>
          <w:spacing w:val="-3"/>
          <w:kern w:val="0"/>
          <w:position w:val="7"/>
          <w:szCs w:val="21"/>
          <w:lang w:val="en-US" w:eastAsia="zh-CN"/>
        </w:rPr>
        <w:t>关键试剂耗材</w:t>
      </w:r>
      <w:r>
        <w:rPr>
          <w:rFonts w:hint="eastAsia" w:ascii="宋体" w:hAnsi="宋体" w:cs="宋体"/>
          <w:snapToGrid w:val="0"/>
          <w:color w:val="000000"/>
          <w:spacing w:val="-3"/>
          <w:kern w:val="0"/>
          <w:position w:val="7"/>
          <w:szCs w:val="21"/>
          <w:lang w:val="en-US" w:eastAsia="zh-CN"/>
        </w:rPr>
        <w:t>领用</w:t>
      </w:r>
      <w:r>
        <w:rPr>
          <w:rFonts w:hint="eastAsia" w:ascii="宋体" w:hAnsi="宋体" w:eastAsia="宋体" w:cs="宋体"/>
          <w:snapToGrid w:val="0"/>
          <w:color w:val="000000"/>
          <w:spacing w:val="-3"/>
          <w:kern w:val="0"/>
          <w:position w:val="7"/>
          <w:szCs w:val="21"/>
          <w:lang w:val="en-US" w:eastAsia="zh-CN"/>
        </w:rPr>
        <w:t>记录明细如</w:t>
      </w:r>
      <w:r>
        <w:rPr>
          <w:rFonts w:hint="default" w:ascii="Times New Roman" w:hAnsi="Times New Roman" w:eastAsia="宋体" w:cs="Times New Roman"/>
          <w:snapToGrid w:val="0"/>
          <w:color w:val="000000"/>
          <w:spacing w:val="-3"/>
          <w:kern w:val="0"/>
          <w:position w:val="7"/>
          <w:szCs w:val="21"/>
          <w:lang w:val="en-US" w:eastAsia="zh-CN"/>
        </w:rPr>
        <w:t>表D.</w:t>
      </w:r>
      <w:r>
        <w:rPr>
          <w:rFonts w:hint="eastAsia" w:cs="Times New Roman"/>
          <w:snapToGrid w:val="0"/>
          <w:color w:val="000000"/>
          <w:spacing w:val="-3"/>
          <w:kern w:val="0"/>
          <w:position w:val="7"/>
          <w:szCs w:val="21"/>
          <w:lang w:val="en-US" w:eastAsia="zh-CN"/>
        </w:rPr>
        <w:t>2</w:t>
      </w:r>
      <w:r>
        <w:rPr>
          <w:rFonts w:hint="eastAsia" w:ascii="宋体" w:hAnsi="宋体" w:eastAsia="宋体" w:cs="宋体"/>
          <w:snapToGrid w:val="0"/>
          <w:color w:val="000000"/>
          <w:spacing w:val="-3"/>
          <w:kern w:val="0"/>
          <w:position w:val="7"/>
          <w:szCs w:val="21"/>
          <w:lang w:val="en-US" w:eastAsia="zh-CN"/>
        </w:rPr>
        <w:t>所示。</w:t>
      </w:r>
    </w:p>
    <w:p w14:paraId="67191A89">
      <w:pPr>
        <w:widowControl/>
        <w:kinsoku w:val="0"/>
        <w:autoSpaceDE w:val="0"/>
        <w:autoSpaceDN w:val="0"/>
        <w:adjustRightInd w:val="0"/>
        <w:snapToGrid w:val="0"/>
        <w:spacing w:line="219" w:lineRule="auto"/>
        <w:jc w:val="left"/>
        <w:textAlignment w:val="baseline"/>
        <w:rPr>
          <w:rFonts w:hint="default" w:ascii="黑体" w:hAnsi="黑体" w:eastAsia="黑体" w:cs="黑体"/>
          <w:snapToGrid w:val="0"/>
          <w:color w:val="000000"/>
          <w:spacing w:val="-3"/>
          <w:kern w:val="0"/>
          <w:position w:val="7"/>
          <w:szCs w:val="21"/>
          <w:lang w:val="en-US" w:eastAsia="zh-CN"/>
        </w:rPr>
      </w:pPr>
    </w:p>
    <w:p w14:paraId="6928066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snapToGrid w:val="0"/>
          <w:color w:val="000000"/>
          <w:spacing w:val="17"/>
          <w:kern w:val="0"/>
          <w:szCs w:val="21"/>
          <w:lang w:val="en-US" w:eastAsia="zh-CN"/>
        </w:rPr>
      </w:pPr>
      <w:r>
        <w:rPr>
          <w:rFonts w:hint="default" w:ascii="Times New Roman" w:hAnsi="Times New Roman" w:eastAsia="宋体" w:cs="Times New Roman"/>
          <w:snapToGrid w:val="0"/>
          <w:color w:val="000000"/>
          <w:spacing w:val="17"/>
          <w:kern w:val="0"/>
          <w:szCs w:val="21"/>
          <w:lang w:val="en-US" w:eastAsia="zh-CN"/>
        </w:rPr>
        <w:t>表D.</w:t>
      </w:r>
      <w:r>
        <w:rPr>
          <w:rFonts w:hint="eastAsia" w:ascii="Times New Roman" w:hAnsi="Times New Roman" w:cs="Times New Roman"/>
          <w:snapToGrid w:val="0"/>
          <w:color w:val="000000"/>
          <w:spacing w:val="17"/>
          <w:kern w:val="0"/>
          <w:szCs w:val="21"/>
          <w:lang w:val="en-US" w:eastAsia="zh-CN"/>
        </w:rPr>
        <w:t>2</w:t>
      </w:r>
      <w:r>
        <w:rPr>
          <w:rFonts w:hint="eastAsia" w:ascii="宋体" w:hAnsi="宋体" w:eastAsia="宋体" w:cs="宋体"/>
          <w:snapToGrid w:val="0"/>
          <w:color w:val="000000"/>
          <w:spacing w:val="17"/>
          <w:kern w:val="0"/>
          <w:szCs w:val="21"/>
          <w:lang w:val="en-US" w:eastAsia="zh-CN"/>
        </w:rPr>
        <w:t xml:space="preserve"> 试剂耗材领用登记表</w:t>
      </w:r>
    </w:p>
    <w:tbl>
      <w:tblPr>
        <w:tblStyle w:val="33"/>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2"/>
        <w:gridCol w:w="1288"/>
        <w:gridCol w:w="1608"/>
        <w:gridCol w:w="2247"/>
        <w:gridCol w:w="1429"/>
        <w:gridCol w:w="1832"/>
      </w:tblGrid>
      <w:tr w14:paraId="440A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5" w:type="pct"/>
            <w:tcBorders>
              <w:top w:val="single" w:color="000000" w:sz="4" w:space="0"/>
              <w:left w:val="single" w:color="000000" w:sz="4" w:space="0"/>
              <w:bottom w:val="single" w:color="000000" w:sz="4" w:space="0"/>
              <w:right w:val="single" w:color="000000" w:sz="4" w:space="0"/>
            </w:tcBorders>
            <w:noWrap/>
            <w:vAlign w:val="center"/>
          </w:tcPr>
          <w:p w14:paraId="4EB627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93" w:type="pct"/>
            <w:tcBorders>
              <w:top w:val="single" w:color="000000" w:sz="4" w:space="0"/>
              <w:left w:val="single" w:color="000000" w:sz="4" w:space="0"/>
              <w:bottom w:val="single" w:color="000000" w:sz="4" w:space="0"/>
              <w:right w:val="single" w:color="000000" w:sz="4" w:space="0"/>
            </w:tcBorders>
            <w:noWrap/>
            <w:vAlign w:val="center"/>
          </w:tcPr>
          <w:p w14:paraId="311CBC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领用时间</w:t>
            </w:r>
          </w:p>
        </w:tc>
        <w:tc>
          <w:tcPr>
            <w:tcW w:w="865" w:type="pct"/>
            <w:tcBorders>
              <w:top w:val="single" w:color="000000" w:sz="4" w:space="0"/>
              <w:left w:val="single" w:color="000000" w:sz="4" w:space="0"/>
              <w:bottom w:val="single" w:color="000000" w:sz="4" w:space="0"/>
              <w:right w:val="single" w:color="000000" w:sz="4" w:space="0"/>
            </w:tcBorders>
            <w:noWrap/>
            <w:vAlign w:val="center"/>
          </w:tcPr>
          <w:p w14:paraId="3CDA7B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试剂耗材名称</w:t>
            </w:r>
          </w:p>
        </w:tc>
        <w:tc>
          <w:tcPr>
            <w:tcW w:w="1209" w:type="pct"/>
            <w:tcBorders>
              <w:top w:val="single" w:color="000000" w:sz="4" w:space="0"/>
              <w:left w:val="single" w:color="000000" w:sz="4" w:space="0"/>
              <w:bottom w:val="single" w:color="000000" w:sz="4" w:space="0"/>
              <w:right w:val="single" w:color="000000" w:sz="4" w:space="0"/>
            </w:tcBorders>
            <w:noWrap/>
            <w:vAlign w:val="center"/>
          </w:tcPr>
          <w:p w14:paraId="6556DF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769" w:type="pct"/>
            <w:tcBorders>
              <w:top w:val="single" w:color="000000" w:sz="4" w:space="0"/>
              <w:left w:val="single" w:color="000000" w:sz="4" w:space="0"/>
              <w:bottom w:val="single" w:color="000000" w:sz="4" w:space="0"/>
              <w:right w:val="single" w:color="000000" w:sz="4" w:space="0"/>
            </w:tcBorders>
            <w:noWrap/>
            <w:vAlign w:val="center"/>
          </w:tcPr>
          <w:p w14:paraId="180A8FF4">
            <w:pPr>
              <w:keepNext w:val="0"/>
              <w:keepLines w:val="0"/>
              <w:widowControl/>
              <w:suppressLineNumbers w:val="0"/>
              <w:spacing w:line="36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领用数量</w:t>
            </w:r>
          </w:p>
        </w:tc>
        <w:tc>
          <w:tcPr>
            <w:tcW w:w="986" w:type="pct"/>
            <w:tcBorders>
              <w:top w:val="single" w:color="000000" w:sz="4" w:space="0"/>
              <w:left w:val="single" w:color="000000" w:sz="4" w:space="0"/>
              <w:bottom w:val="single" w:color="000000" w:sz="4" w:space="0"/>
              <w:right w:val="single" w:color="000000" w:sz="4" w:space="0"/>
            </w:tcBorders>
            <w:noWrap/>
            <w:vAlign w:val="center"/>
          </w:tcPr>
          <w:p w14:paraId="5363F0A0">
            <w:pPr>
              <w:keepNext w:val="0"/>
              <w:keepLines w:val="0"/>
              <w:widowControl/>
              <w:suppressLineNumbers w:val="0"/>
              <w:spacing w:line="36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领用人签字</w:t>
            </w:r>
          </w:p>
        </w:tc>
      </w:tr>
      <w:tr w14:paraId="4E4C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5" w:type="pct"/>
            <w:tcBorders>
              <w:top w:val="single" w:color="000000" w:sz="4" w:space="0"/>
              <w:left w:val="single" w:color="000000" w:sz="4" w:space="0"/>
              <w:bottom w:val="single" w:color="000000" w:sz="4" w:space="0"/>
              <w:right w:val="single" w:color="000000" w:sz="4" w:space="0"/>
            </w:tcBorders>
            <w:noWrap/>
            <w:vAlign w:val="center"/>
          </w:tcPr>
          <w:p w14:paraId="4E9EA407">
            <w:pPr>
              <w:spacing w:line="360" w:lineRule="auto"/>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noWrap/>
            <w:vAlign w:val="center"/>
          </w:tcPr>
          <w:p w14:paraId="604C5ACE">
            <w:pPr>
              <w:spacing w:line="360" w:lineRule="auto"/>
              <w:rPr>
                <w:rFonts w:hint="eastAsia" w:ascii="宋体" w:hAnsi="宋体" w:eastAsia="宋体" w:cs="宋体"/>
                <w:i w:val="0"/>
                <w:iCs w:val="0"/>
                <w:color w:val="000000"/>
                <w:sz w:val="18"/>
                <w:szCs w:val="18"/>
                <w:u w:val="none"/>
              </w:rPr>
            </w:pPr>
          </w:p>
        </w:tc>
        <w:tc>
          <w:tcPr>
            <w:tcW w:w="865" w:type="pct"/>
            <w:tcBorders>
              <w:top w:val="single" w:color="000000" w:sz="4" w:space="0"/>
              <w:left w:val="single" w:color="000000" w:sz="4" w:space="0"/>
              <w:bottom w:val="single" w:color="000000" w:sz="4" w:space="0"/>
              <w:right w:val="single" w:color="000000" w:sz="4" w:space="0"/>
            </w:tcBorders>
            <w:noWrap/>
            <w:vAlign w:val="center"/>
          </w:tcPr>
          <w:p w14:paraId="208FAD1D">
            <w:pPr>
              <w:spacing w:line="360" w:lineRule="auto"/>
              <w:rPr>
                <w:rFonts w:hint="eastAsia" w:ascii="宋体" w:hAnsi="宋体" w:eastAsia="宋体" w:cs="宋体"/>
                <w:i w:val="0"/>
                <w:iCs w:val="0"/>
                <w:color w:val="000000"/>
                <w:sz w:val="18"/>
                <w:szCs w:val="18"/>
                <w:u w:val="none"/>
              </w:rPr>
            </w:pPr>
          </w:p>
        </w:tc>
        <w:tc>
          <w:tcPr>
            <w:tcW w:w="1209" w:type="pct"/>
            <w:tcBorders>
              <w:top w:val="single" w:color="000000" w:sz="4" w:space="0"/>
              <w:left w:val="single" w:color="000000" w:sz="4" w:space="0"/>
              <w:bottom w:val="single" w:color="000000" w:sz="4" w:space="0"/>
              <w:right w:val="single" w:color="000000" w:sz="4" w:space="0"/>
            </w:tcBorders>
            <w:noWrap/>
            <w:vAlign w:val="center"/>
          </w:tcPr>
          <w:p w14:paraId="54759180">
            <w:pPr>
              <w:spacing w:line="360" w:lineRule="auto"/>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noWrap/>
            <w:vAlign w:val="center"/>
          </w:tcPr>
          <w:p w14:paraId="6C8887C7">
            <w:pPr>
              <w:spacing w:line="360" w:lineRule="auto"/>
              <w:rPr>
                <w:rFonts w:hint="eastAsia" w:ascii="宋体" w:hAnsi="宋体" w:eastAsia="宋体" w:cs="宋体"/>
                <w:i w:val="0"/>
                <w:iCs w:val="0"/>
                <w:color w:val="000000"/>
                <w:sz w:val="18"/>
                <w:szCs w:val="18"/>
                <w:u w:val="none"/>
              </w:rPr>
            </w:pPr>
          </w:p>
        </w:tc>
        <w:tc>
          <w:tcPr>
            <w:tcW w:w="986" w:type="pct"/>
            <w:tcBorders>
              <w:top w:val="single" w:color="000000" w:sz="4" w:space="0"/>
              <w:left w:val="single" w:color="000000" w:sz="4" w:space="0"/>
              <w:bottom w:val="single" w:color="000000" w:sz="4" w:space="0"/>
              <w:right w:val="single" w:color="000000" w:sz="4" w:space="0"/>
            </w:tcBorders>
            <w:noWrap/>
            <w:vAlign w:val="center"/>
          </w:tcPr>
          <w:p w14:paraId="3CD245E7">
            <w:pPr>
              <w:spacing w:line="360" w:lineRule="auto"/>
              <w:rPr>
                <w:rFonts w:hint="eastAsia" w:ascii="宋体" w:hAnsi="宋体" w:eastAsia="宋体" w:cs="宋体"/>
                <w:i w:val="0"/>
                <w:iCs w:val="0"/>
                <w:color w:val="000000"/>
                <w:sz w:val="18"/>
                <w:szCs w:val="18"/>
                <w:u w:val="none"/>
              </w:rPr>
            </w:pPr>
          </w:p>
        </w:tc>
      </w:tr>
      <w:tr w14:paraId="4FC9B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5" w:type="pct"/>
            <w:tcBorders>
              <w:top w:val="single" w:color="000000" w:sz="4" w:space="0"/>
              <w:left w:val="single" w:color="000000" w:sz="4" w:space="0"/>
              <w:bottom w:val="single" w:color="000000" w:sz="4" w:space="0"/>
              <w:right w:val="single" w:color="000000" w:sz="4" w:space="0"/>
            </w:tcBorders>
            <w:noWrap/>
            <w:vAlign w:val="center"/>
          </w:tcPr>
          <w:p w14:paraId="79E366C7">
            <w:pPr>
              <w:spacing w:line="360" w:lineRule="auto"/>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noWrap/>
            <w:vAlign w:val="center"/>
          </w:tcPr>
          <w:p w14:paraId="47A0F1EE">
            <w:pPr>
              <w:spacing w:line="360" w:lineRule="auto"/>
              <w:rPr>
                <w:rFonts w:hint="eastAsia" w:ascii="宋体" w:hAnsi="宋体" w:eastAsia="宋体" w:cs="宋体"/>
                <w:i w:val="0"/>
                <w:iCs w:val="0"/>
                <w:color w:val="000000"/>
                <w:sz w:val="18"/>
                <w:szCs w:val="18"/>
                <w:u w:val="none"/>
              </w:rPr>
            </w:pPr>
          </w:p>
        </w:tc>
        <w:tc>
          <w:tcPr>
            <w:tcW w:w="865" w:type="pct"/>
            <w:tcBorders>
              <w:top w:val="single" w:color="000000" w:sz="4" w:space="0"/>
              <w:left w:val="single" w:color="000000" w:sz="4" w:space="0"/>
              <w:bottom w:val="single" w:color="000000" w:sz="4" w:space="0"/>
              <w:right w:val="single" w:color="000000" w:sz="4" w:space="0"/>
            </w:tcBorders>
            <w:noWrap/>
            <w:vAlign w:val="center"/>
          </w:tcPr>
          <w:p w14:paraId="59868080">
            <w:pPr>
              <w:spacing w:line="360" w:lineRule="auto"/>
              <w:rPr>
                <w:rFonts w:hint="eastAsia" w:ascii="宋体" w:hAnsi="宋体" w:eastAsia="宋体" w:cs="宋体"/>
                <w:i w:val="0"/>
                <w:iCs w:val="0"/>
                <w:color w:val="000000"/>
                <w:sz w:val="18"/>
                <w:szCs w:val="18"/>
                <w:u w:val="none"/>
              </w:rPr>
            </w:pPr>
          </w:p>
        </w:tc>
        <w:tc>
          <w:tcPr>
            <w:tcW w:w="1209" w:type="pct"/>
            <w:tcBorders>
              <w:top w:val="single" w:color="000000" w:sz="4" w:space="0"/>
              <w:left w:val="single" w:color="000000" w:sz="4" w:space="0"/>
              <w:bottom w:val="single" w:color="000000" w:sz="4" w:space="0"/>
              <w:right w:val="single" w:color="000000" w:sz="4" w:space="0"/>
            </w:tcBorders>
            <w:noWrap/>
            <w:vAlign w:val="center"/>
          </w:tcPr>
          <w:p w14:paraId="79F72955">
            <w:pPr>
              <w:spacing w:line="360" w:lineRule="auto"/>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noWrap/>
            <w:vAlign w:val="center"/>
          </w:tcPr>
          <w:p w14:paraId="23DCEAC9">
            <w:pPr>
              <w:spacing w:line="360" w:lineRule="auto"/>
              <w:rPr>
                <w:rFonts w:hint="eastAsia" w:ascii="宋体" w:hAnsi="宋体" w:eastAsia="宋体" w:cs="宋体"/>
                <w:i w:val="0"/>
                <w:iCs w:val="0"/>
                <w:color w:val="000000"/>
                <w:sz w:val="18"/>
                <w:szCs w:val="18"/>
                <w:u w:val="none"/>
              </w:rPr>
            </w:pPr>
          </w:p>
        </w:tc>
        <w:tc>
          <w:tcPr>
            <w:tcW w:w="986" w:type="pct"/>
            <w:tcBorders>
              <w:top w:val="single" w:color="000000" w:sz="4" w:space="0"/>
              <w:left w:val="single" w:color="000000" w:sz="4" w:space="0"/>
              <w:bottom w:val="single" w:color="000000" w:sz="4" w:space="0"/>
              <w:right w:val="single" w:color="000000" w:sz="4" w:space="0"/>
            </w:tcBorders>
            <w:noWrap/>
            <w:vAlign w:val="center"/>
          </w:tcPr>
          <w:p w14:paraId="06116987">
            <w:pPr>
              <w:spacing w:line="360" w:lineRule="auto"/>
              <w:rPr>
                <w:rFonts w:hint="eastAsia" w:ascii="宋体" w:hAnsi="宋体" w:eastAsia="宋体" w:cs="宋体"/>
                <w:i w:val="0"/>
                <w:iCs w:val="0"/>
                <w:color w:val="000000"/>
                <w:sz w:val="18"/>
                <w:szCs w:val="18"/>
                <w:u w:val="none"/>
              </w:rPr>
            </w:pPr>
          </w:p>
        </w:tc>
      </w:tr>
      <w:tr w14:paraId="5F88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5" w:type="pct"/>
            <w:tcBorders>
              <w:top w:val="single" w:color="000000" w:sz="4" w:space="0"/>
              <w:left w:val="single" w:color="000000" w:sz="4" w:space="0"/>
              <w:bottom w:val="single" w:color="000000" w:sz="4" w:space="0"/>
              <w:right w:val="single" w:color="000000" w:sz="4" w:space="0"/>
            </w:tcBorders>
            <w:noWrap/>
            <w:vAlign w:val="center"/>
          </w:tcPr>
          <w:p w14:paraId="1A1F1A88">
            <w:pPr>
              <w:spacing w:line="360" w:lineRule="auto"/>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noWrap/>
            <w:vAlign w:val="center"/>
          </w:tcPr>
          <w:p w14:paraId="7723A183">
            <w:pPr>
              <w:spacing w:line="360" w:lineRule="auto"/>
              <w:rPr>
                <w:rFonts w:hint="eastAsia" w:ascii="宋体" w:hAnsi="宋体" w:eastAsia="宋体" w:cs="宋体"/>
                <w:i w:val="0"/>
                <w:iCs w:val="0"/>
                <w:color w:val="000000"/>
                <w:sz w:val="18"/>
                <w:szCs w:val="18"/>
                <w:u w:val="none"/>
              </w:rPr>
            </w:pPr>
          </w:p>
        </w:tc>
        <w:tc>
          <w:tcPr>
            <w:tcW w:w="865" w:type="pct"/>
            <w:tcBorders>
              <w:top w:val="single" w:color="000000" w:sz="4" w:space="0"/>
              <w:left w:val="single" w:color="000000" w:sz="4" w:space="0"/>
              <w:bottom w:val="single" w:color="000000" w:sz="4" w:space="0"/>
              <w:right w:val="single" w:color="000000" w:sz="4" w:space="0"/>
            </w:tcBorders>
            <w:noWrap/>
            <w:vAlign w:val="center"/>
          </w:tcPr>
          <w:p w14:paraId="582129E9">
            <w:pPr>
              <w:spacing w:line="360" w:lineRule="auto"/>
              <w:rPr>
                <w:rFonts w:hint="eastAsia" w:ascii="宋体" w:hAnsi="宋体" w:eastAsia="宋体" w:cs="宋体"/>
                <w:i w:val="0"/>
                <w:iCs w:val="0"/>
                <w:color w:val="000000"/>
                <w:sz w:val="18"/>
                <w:szCs w:val="18"/>
                <w:u w:val="none"/>
              </w:rPr>
            </w:pPr>
          </w:p>
        </w:tc>
        <w:tc>
          <w:tcPr>
            <w:tcW w:w="1209" w:type="pct"/>
            <w:tcBorders>
              <w:top w:val="single" w:color="000000" w:sz="4" w:space="0"/>
              <w:left w:val="single" w:color="000000" w:sz="4" w:space="0"/>
              <w:bottom w:val="single" w:color="000000" w:sz="4" w:space="0"/>
              <w:right w:val="single" w:color="000000" w:sz="4" w:space="0"/>
            </w:tcBorders>
            <w:noWrap/>
            <w:vAlign w:val="center"/>
          </w:tcPr>
          <w:p w14:paraId="113CA96F">
            <w:pPr>
              <w:spacing w:line="360" w:lineRule="auto"/>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noWrap/>
            <w:vAlign w:val="center"/>
          </w:tcPr>
          <w:p w14:paraId="534A3E5B">
            <w:pPr>
              <w:spacing w:line="360" w:lineRule="auto"/>
              <w:rPr>
                <w:rFonts w:hint="eastAsia" w:ascii="宋体" w:hAnsi="宋体" w:eastAsia="宋体" w:cs="宋体"/>
                <w:i w:val="0"/>
                <w:iCs w:val="0"/>
                <w:color w:val="000000"/>
                <w:sz w:val="18"/>
                <w:szCs w:val="18"/>
                <w:u w:val="none"/>
              </w:rPr>
            </w:pPr>
          </w:p>
        </w:tc>
        <w:tc>
          <w:tcPr>
            <w:tcW w:w="986" w:type="pct"/>
            <w:tcBorders>
              <w:top w:val="single" w:color="000000" w:sz="4" w:space="0"/>
              <w:left w:val="single" w:color="000000" w:sz="4" w:space="0"/>
              <w:bottom w:val="single" w:color="000000" w:sz="4" w:space="0"/>
              <w:right w:val="single" w:color="000000" w:sz="4" w:space="0"/>
            </w:tcBorders>
            <w:noWrap/>
            <w:vAlign w:val="center"/>
          </w:tcPr>
          <w:p w14:paraId="1C47426A">
            <w:pPr>
              <w:spacing w:line="360" w:lineRule="auto"/>
              <w:rPr>
                <w:rFonts w:hint="eastAsia" w:ascii="宋体" w:hAnsi="宋体" w:eastAsia="宋体" w:cs="宋体"/>
                <w:i w:val="0"/>
                <w:iCs w:val="0"/>
                <w:color w:val="000000"/>
                <w:sz w:val="18"/>
                <w:szCs w:val="18"/>
                <w:u w:val="none"/>
              </w:rPr>
            </w:pPr>
          </w:p>
        </w:tc>
      </w:tr>
      <w:tr w14:paraId="5E7C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5" w:type="pct"/>
            <w:tcBorders>
              <w:top w:val="single" w:color="000000" w:sz="4" w:space="0"/>
              <w:left w:val="single" w:color="000000" w:sz="4" w:space="0"/>
              <w:bottom w:val="single" w:color="000000" w:sz="4" w:space="0"/>
              <w:right w:val="single" w:color="000000" w:sz="4" w:space="0"/>
            </w:tcBorders>
            <w:noWrap/>
            <w:vAlign w:val="center"/>
          </w:tcPr>
          <w:p w14:paraId="16AAF1EA">
            <w:pPr>
              <w:spacing w:line="360" w:lineRule="auto"/>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noWrap/>
            <w:vAlign w:val="center"/>
          </w:tcPr>
          <w:p w14:paraId="05F33F60">
            <w:pPr>
              <w:spacing w:line="360" w:lineRule="auto"/>
              <w:rPr>
                <w:rFonts w:hint="eastAsia" w:ascii="宋体" w:hAnsi="宋体" w:eastAsia="宋体" w:cs="宋体"/>
                <w:i w:val="0"/>
                <w:iCs w:val="0"/>
                <w:color w:val="000000"/>
                <w:sz w:val="18"/>
                <w:szCs w:val="18"/>
                <w:u w:val="none"/>
              </w:rPr>
            </w:pPr>
          </w:p>
        </w:tc>
        <w:tc>
          <w:tcPr>
            <w:tcW w:w="865" w:type="pct"/>
            <w:tcBorders>
              <w:top w:val="single" w:color="000000" w:sz="4" w:space="0"/>
              <w:left w:val="single" w:color="000000" w:sz="4" w:space="0"/>
              <w:bottom w:val="single" w:color="000000" w:sz="4" w:space="0"/>
              <w:right w:val="single" w:color="000000" w:sz="4" w:space="0"/>
            </w:tcBorders>
            <w:noWrap/>
            <w:vAlign w:val="center"/>
          </w:tcPr>
          <w:p w14:paraId="16061909">
            <w:pPr>
              <w:spacing w:line="360" w:lineRule="auto"/>
              <w:rPr>
                <w:rFonts w:hint="eastAsia" w:ascii="宋体" w:hAnsi="宋体" w:eastAsia="宋体" w:cs="宋体"/>
                <w:i w:val="0"/>
                <w:iCs w:val="0"/>
                <w:color w:val="000000"/>
                <w:sz w:val="18"/>
                <w:szCs w:val="18"/>
                <w:u w:val="none"/>
              </w:rPr>
            </w:pPr>
          </w:p>
        </w:tc>
        <w:tc>
          <w:tcPr>
            <w:tcW w:w="1209" w:type="pct"/>
            <w:tcBorders>
              <w:top w:val="single" w:color="000000" w:sz="4" w:space="0"/>
              <w:left w:val="single" w:color="000000" w:sz="4" w:space="0"/>
              <w:bottom w:val="single" w:color="000000" w:sz="4" w:space="0"/>
              <w:right w:val="single" w:color="000000" w:sz="4" w:space="0"/>
            </w:tcBorders>
            <w:noWrap/>
            <w:vAlign w:val="center"/>
          </w:tcPr>
          <w:p w14:paraId="301BB9EB">
            <w:pPr>
              <w:spacing w:line="360" w:lineRule="auto"/>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noWrap/>
            <w:vAlign w:val="center"/>
          </w:tcPr>
          <w:p w14:paraId="4CFDC20E">
            <w:pPr>
              <w:spacing w:line="360" w:lineRule="auto"/>
              <w:rPr>
                <w:rFonts w:hint="eastAsia" w:ascii="宋体" w:hAnsi="宋体" w:eastAsia="宋体" w:cs="宋体"/>
                <w:i w:val="0"/>
                <w:iCs w:val="0"/>
                <w:color w:val="000000"/>
                <w:sz w:val="18"/>
                <w:szCs w:val="18"/>
                <w:u w:val="none"/>
              </w:rPr>
            </w:pPr>
          </w:p>
        </w:tc>
        <w:tc>
          <w:tcPr>
            <w:tcW w:w="986" w:type="pct"/>
            <w:tcBorders>
              <w:top w:val="single" w:color="000000" w:sz="4" w:space="0"/>
              <w:left w:val="single" w:color="000000" w:sz="4" w:space="0"/>
              <w:bottom w:val="single" w:color="000000" w:sz="4" w:space="0"/>
              <w:right w:val="single" w:color="000000" w:sz="4" w:space="0"/>
            </w:tcBorders>
            <w:noWrap/>
            <w:vAlign w:val="center"/>
          </w:tcPr>
          <w:p w14:paraId="6BA37761">
            <w:pPr>
              <w:spacing w:line="360" w:lineRule="auto"/>
              <w:rPr>
                <w:rFonts w:hint="eastAsia" w:ascii="宋体" w:hAnsi="宋体" w:eastAsia="宋体" w:cs="宋体"/>
                <w:i w:val="0"/>
                <w:iCs w:val="0"/>
                <w:color w:val="000000"/>
                <w:sz w:val="18"/>
                <w:szCs w:val="18"/>
                <w:u w:val="none"/>
              </w:rPr>
            </w:pPr>
          </w:p>
        </w:tc>
      </w:tr>
      <w:tr w14:paraId="0FDC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5" w:type="pct"/>
            <w:tcBorders>
              <w:top w:val="single" w:color="000000" w:sz="4" w:space="0"/>
              <w:left w:val="single" w:color="000000" w:sz="4" w:space="0"/>
              <w:bottom w:val="single" w:color="000000" w:sz="4" w:space="0"/>
              <w:right w:val="single" w:color="000000" w:sz="4" w:space="0"/>
            </w:tcBorders>
            <w:noWrap/>
            <w:vAlign w:val="center"/>
          </w:tcPr>
          <w:p w14:paraId="77891923">
            <w:pPr>
              <w:spacing w:line="360" w:lineRule="auto"/>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noWrap/>
            <w:vAlign w:val="center"/>
          </w:tcPr>
          <w:p w14:paraId="66A7E834">
            <w:pPr>
              <w:spacing w:line="360" w:lineRule="auto"/>
              <w:rPr>
                <w:rFonts w:hint="eastAsia" w:ascii="宋体" w:hAnsi="宋体" w:eastAsia="宋体" w:cs="宋体"/>
                <w:i w:val="0"/>
                <w:iCs w:val="0"/>
                <w:color w:val="000000"/>
                <w:sz w:val="18"/>
                <w:szCs w:val="18"/>
                <w:u w:val="none"/>
              </w:rPr>
            </w:pPr>
          </w:p>
        </w:tc>
        <w:tc>
          <w:tcPr>
            <w:tcW w:w="865" w:type="pct"/>
            <w:tcBorders>
              <w:top w:val="single" w:color="000000" w:sz="4" w:space="0"/>
              <w:left w:val="single" w:color="000000" w:sz="4" w:space="0"/>
              <w:bottom w:val="single" w:color="000000" w:sz="4" w:space="0"/>
              <w:right w:val="single" w:color="000000" w:sz="4" w:space="0"/>
            </w:tcBorders>
            <w:noWrap/>
            <w:vAlign w:val="center"/>
          </w:tcPr>
          <w:p w14:paraId="1CEB74B4">
            <w:pPr>
              <w:spacing w:line="360" w:lineRule="auto"/>
              <w:rPr>
                <w:rFonts w:hint="eastAsia" w:ascii="宋体" w:hAnsi="宋体" w:eastAsia="宋体" w:cs="宋体"/>
                <w:i w:val="0"/>
                <w:iCs w:val="0"/>
                <w:color w:val="000000"/>
                <w:sz w:val="18"/>
                <w:szCs w:val="18"/>
                <w:u w:val="none"/>
              </w:rPr>
            </w:pPr>
          </w:p>
        </w:tc>
        <w:tc>
          <w:tcPr>
            <w:tcW w:w="1209" w:type="pct"/>
            <w:tcBorders>
              <w:top w:val="single" w:color="000000" w:sz="4" w:space="0"/>
              <w:left w:val="single" w:color="000000" w:sz="4" w:space="0"/>
              <w:bottom w:val="single" w:color="000000" w:sz="4" w:space="0"/>
              <w:right w:val="single" w:color="000000" w:sz="4" w:space="0"/>
            </w:tcBorders>
            <w:noWrap/>
            <w:vAlign w:val="center"/>
          </w:tcPr>
          <w:p w14:paraId="28B74EC2">
            <w:pPr>
              <w:spacing w:line="360" w:lineRule="auto"/>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noWrap/>
            <w:vAlign w:val="center"/>
          </w:tcPr>
          <w:p w14:paraId="1FDA3F16">
            <w:pPr>
              <w:spacing w:line="360" w:lineRule="auto"/>
              <w:rPr>
                <w:rFonts w:hint="eastAsia" w:ascii="宋体" w:hAnsi="宋体" w:eastAsia="宋体" w:cs="宋体"/>
                <w:i w:val="0"/>
                <w:iCs w:val="0"/>
                <w:color w:val="000000"/>
                <w:sz w:val="18"/>
                <w:szCs w:val="18"/>
                <w:u w:val="none"/>
              </w:rPr>
            </w:pPr>
          </w:p>
        </w:tc>
        <w:tc>
          <w:tcPr>
            <w:tcW w:w="986" w:type="pct"/>
            <w:tcBorders>
              <w:top w:val="single" w:color="000000" w:sz="4" w:space="0"/>
              <w:left w:val="single" w:color="000000" w:sz="4" w:space="0"/>
              <w:bottom w:val="single" w:color="000000" w:sz="4" w:space="0"/>
              <w:right w:val="single" w:color="000000" w:sz="4" w:space="0"/>
            </w:tcBorders>
            <w:noWrap/>
            <w:vAlign w:val="center"/>
          </w:tcPr>
          <w:p w14:paraId="777613AB">
            <w:pPr>
              <w:spacing w:line="360" w:lineRule="auto"/>
              <w:rPr>
                <w:rFonts w:hint="eastAsia" w:ascii="宋体" w:hAnsi="宋体" w:eastAsia="宋体" w:cs="宋体"/>
                <w:i w:val="0"/>
                <w:iCs w:val="0"/>
                <w:color w:val="000000"/>
                <w:sz w:val="18"/>
                <w:szCs w:val="18"/>
                <w:u w:val="none"/>
              </w:rPr>
            </w:pPr>
          </w:p>
        </w:tc>
      </w:tr>
      <w:tr w14:paraId="057F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5" w:type="pct"/>
            <w:tcBorders>
              <w:top w:val="single" w:color="000000" w:sz="4" w:space="0"/>
              <w:left w:val="single" w:color="000000" w:sz="4" w:space="0"/>
              <w:bottom w:val="single" w:color="000000" w:sz="4" w:space="0"/>
              <w:right w:val="single" w:color="000000" w:sz="4" w:space="0"/>
            </w:tcBorders>
            <w:noWrap/>
            <w:vAlign w:val="center"/>
          </w:tcPr>
          <w:p w14:paraId="66E87F8F">
            <w:pPr>
              <w:spacing w:line="360" w:lineRule="auto"/>
              <w:rPr>
                <w:rFonts w:hint="eastAsia" w:ascii="宋体" w:hAnsi="宋体" w:eastAsia="宋体" w:cs="宋体"/>
                <w:i w:val="0"/>
                <w:iCs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noWrap/>
            <w:vAlign w:val="center"/>
          </w:tcPr>
          <w:p w14:paraId="640F801B">
            <w:pPr>
              <w:spacing w:line="360" w:lineRule="auto"/>
              <w:rPr>
                <w:rFonts w:hint="eastAsia" w:ascii="宋体" w:hAnsi="宋体" w:eastAsia="宋体" w:cs="宋体"/>
                <w:i w:val="0"/>
                <w:iCs w:val="0"/>
                <w:color w:val="000000"/>
                <w:sz w:val="18"/>
                <w:szCs w:val="18"/>
                <w:u w:val="none"/>
              </w:rPr>
            </w:pPr>
          </w:p>
        </w:tc>
        <w:tc>
          <w:tcPr>
            <w:tcW w:w="865" w:type="pct"/>
            <w:tcBorders>
              <w:top w:val="single" w:color="000000" w:sz="4" w:space="0"/>
              <w:left w:val="single" w:color="000000" w:sz="4" w:space="0"/>
              <w:bottom w:val="single" w:color="000000" w:sz="4" w:space="0"/>
              <w:right w:val="single" w:color="000000" w:sz="4" w:space="0"/>
            </w:tcBorders>
            <w:noWrap/>
            <w:vAlign w:val="center"/>
          </w:tcPr>
          <w:p w14:paraId="7A80AF9E">
            <w:pPr>
              <w:spacing w:line="360" w:lineRule="auto"/>
              <w:rPr>
                <w:rFonts w:hint="eastAsia" w:ascii="宋体" w:hAnsi="宋体" w:eastAsia="宋体" w:cs="宋体"/>
                <w:i w:val="0"/>
                <w:iCs w:val="0"/>
                <w:color w:val="000000"/>
                <w:sz w:val="18"/>
                <w:szCs w:val="18"/>
                <w:u w:val="none"/>
              </w:rPr>
            </w:pPr>
          </w:p>
        </w:tc>
        <w:tc>
          <w:tcPr>
            <w:tcW w:w="1209" w:type="pct"/>
            <w:tcBorders>
              <w:top w:val="single" w:color="000000" w:sz="4" w:space="0"/>
              <w:left w:val="single" w:color="000000" w:sz="4" w:space="0"/>
              <w:bottom w:val="single" w:color="000000" w:sz="4" w:space="0"/>
              <w:right w:val="single" w:color="000000" w:sz="4" w:space="0"/>
            </w:tcBorders>
            <w:noWrap/>
            <w:vAlign w:val="center"/>
          </w:tcPr>
          <w:p w14:paraId="1B97E5A2">
            <w:pPr>
              <w:spacing w:line="360" w:lineRule="auto"/>
              <w:rPr>
                <w:rFonts w:hint="eastAsia" w:ascii="宋体" w:hAnsi="宋体" w:eastAsia="宋体" w:cs="宋体"/>
                <w:i w:val="0"/>
                <w:iCs w:val="0"/>
                <w:color w:val="000000"/>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noWrap/>
            <w:vAlign w:val="center"/>
          </w:tcPr>
          <w:p w14:paraId="28A2427A">
            <w:pPr>
              <w:spacing w:line="360" w:lineRule="auto"/>
              <w:rPr>
                <w:rFonts w:hint="eastAsia" w:ascii="宋体" w:hAnsi="宋体" w:eastAsia="宋体" w:cs="宋体"/>
                <w:i w:val="0"/>
                <w:iCs w:val="0"/>
                <w:color w:val="000000"/>
                <w:sz w:val="18"/>
                <w:szCs w:val="18"/>
                <w:u w:val="none"/>
              </w:rPr>
            </w:pPr>
          </w:p>
        </w:tc>
        <w:tc>
          <w:tcPr>
            <w:tcW w:w="986" w:type="pct"/>
            <w:tcBorders>
              <w:top w:val="single" w:color="000000" w:sz="4" w:space="0"/>
              <w:left w:val="single" w:color="000000" w:sz="4" w:space="0"/>
              <w:bottom w:val="single" w:color="000000" w:sz="4" w:space="0"/>
              <w:right w:val="single" w:color="000000" w:sz="4" w:space="0"/>
            </w:tcBorders>
            <w:noWrap/>
            <w:vAlign w:val="center"/>
          </w:tcPr>
          <w:p w14:paraId="37C1AC30">
            <w:pPr>
              <w:spacing w:line="360" w:lineRule="auto"/>
              <w:rPr>
                <w:rFonts w:hint="eastAsia" w:ascii="宋体" w:hAnsi="宋体" w:eastAsia="宋体" w:cs="宋体"/>
                <w:i w:val="0"/>
                <w:iCs w:val="0"/>
                <w:color w:val="000000"/>
                <w:sz w:val="18"/>
                <w:szCs w:val="18"/>
                <w:u w:val="none"/>
              </w:rPr>
            </w:pPr>
          </w:p>
        </w:tc>
      </w:tr>
    </w:tbl>
    <w:p w14:paraId="2704059D">
      <w:pPr>
        <w:jc w:val="center"/>
        <w:rPr>
          <w:rFonts w:hint="default" w:ascii="黑体" w:hAnsi="黑体" w:eastAsia="黑体" w:cs="黑体"/>
          <w:snapToGrid w:val="0"/>
          <w:color w:val="000000"/>
          <w:spacing w:val="17"/>
          <w:kern w:val="0"/>
          <w:sz w:val="21"/>
          <w:szCs w:val="21"/>
          <w:lang w:val="en-US" w:eastAsia="zh-CN"/>
        </w:rPr>
      </w:pPr>
    </w:p>
    <w:p w14:paraId="0388AB2E">
      <w:pPr>
        <w:pStyle w:val="4"/>
        <w:keepNext/>
        <w:keepLines/>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lang w:val="en-US" w:eastAsia="zh-CN"/>
        </w:rPr>
      </w:pPr>
      <w:r>
        <w:rPr>
          <w:rFonts w:hint="eastAsia"/>
          <w:lang w:val="en-US" w:eastAsia="zh-CN"/>
        </w:rPr>
        <w:t>D.3关键试剂耗材盘存记录</w:t>
      </w:r>
    </w:p>
    <w:p w14:paraId="6F4BF43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宋体" w:cs="Times New Roman"/>
          <w:snapToGrid w:val="0"/>
          <w:color w:val="000000"/>
          <w:spacing w:val="17"/>
          <w:kern w:val="0"/>
          <w:sz w:val="21"/>
          <w:szCs w:val="21"/>
          <w:lang w:val="en-US" w:eastAsia="zh-CN"/>
        </w:rPr>
      </w:pPr>
      <w:r>
        <w:rPr>
          <w:rFonts w:hint="eastAsia" w:ascii="黑体" w:hAnsi="黑体" w:eastAsia="黑体" w:cs="黑体"/>
          <w:snapToGrid w:val="0"/>
          <w:color w:val="000000"/>
          <w:spacing w:val="-3"/>
          <w:kern w:val="0"/>
          <w:position w:val="7"/>
          <w:szCs w:val="21"/>
          <w:lang w:val="en-US" w:eastAsia="zh-CN"/>
        </w:rPr>
        <w:t xml:space="preserve">   </w:t>
      </w:r>
      <w:r>
        <w:rPr>
          <w:rFonts w:hint="eastAsia" w:ascii="宋体" w:hAnsi="宋体" w:eastAsia="宋体" w:cs="宋体"/>
          <w:snapToGrid w:val="0"/>
          <w:color w:val="000000"/>
          <w:spacing w:val="-3"/>
          <w:kern w:val="0"/>
          <w:position w:val="7"/>
          <w:szCs w:val="21"/>
          <w:lang w:val="en-US" w:eastAsia="zh-CN"/>
        </w:rPr>
        <w:t>关键试剂耗材</w:t>
      </w:r>
      <w:r>
        <w:rPr>
          <w:rFonts w:hint="eastAsia" w:ascii="宋体" w:hAnsi="宋体" w:cs="宋体"/>
          <w:snapToGrid w:val="0"/>
          <w:color w:val="000000"/>
          <w:spacing w:val="-3"/>
          <w:kern w:val="0"/>
          <w:position w:val="7"/>
          <w:szCs w:val="21"/>
          <w:lang w:val="en-US" w:eastAsia="zh-CN"/>
        </w:rPr>
        <w:t>盘存</w:t>
      </w:r>
      <w:r>
        <w:rPr>
          <w:rFonts w:hint="eastAsia" w:ascii="宋体" w:hAnsi="宋体" w:eastAsia="宋体" w:cs="宋体"/>
          <w:snapToGrid w:val="0"/>
          <w:color w:val="000000"/>
          <w:spacing w:val="-3"/>
          <w:kern w:val="0"/>
          <w:position w:val="7"/>
          <w:szCs w:val="21"/>
          <w:lang w:val="en-US" w:eastAsia="zh-CN"/>
        </w:rPr>
        <w:t>记录明细如</w:t>
      </w:r>
      <w:r>
        <w:rPr>
          <w:rFonts w:hint="default" w:ascii="Times New Roman" w:hAnsi="Times New Roman" w:eastAsia="宋体" w:cs="Times New Roman"/>
          <w:snapToGrid w:val="0"/>
          <w:color w:val="000000"/>
          <w:spacing w:val="-3"/>
          <w:kern w:val="0"/>
          <w:position w:val="7"/>
          <w:szCs w:val="21"/>
          <w:lang w:val="en-US" w:eastAsia="zh-CN"/>
        </w:rPr>
        <w:t>表D.</w:t>
      </w:r>
      <w:r>
        <w:rPr>
          <w:rFonts w:hint="eastAsia" w:cs="Times New Roman"/>
          <w:snapToGrid w:val="0"/>
          <w:color w:val="000000"/>
          <w:spacing w:val="-3"/>
          <w:kern w:val="0"/>
          <w:position w:val="7"/>
          <w:szCs w:val="21"/>
          <w:lang w:val="en-US" w:eastAsia="zh-CN"/>
        </w:rPr>
        <w:t>3</w:t>
      </w:r>
      <w:r>
        <w:rPr>
          <w:rFonts w:hint="eastAsia" w:ascii="宋体" w:hAnsi="宋体" w:eastAsia="宋体" w:cs="宋体"/>
          <w:snapToGrid w:val="0"/>
          <w:color w:val="000000"/>
          <w:spacing w:val="-3"/>
          <w:kern w:val="0"/>
          <w:position w:val="7"/>
          <w:szCs w:val="21"/>
          <w:lang w:val="en-US" w:eastAsia="zh-CN"/>
        </w:rPr>
        <w:t>所示。</w:t>
      </w:r>
    </w:p>
    <w:p w14:paraId="2BB9C19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Times New Roman" w:hAnsi="Times New Roman" w:eastAsia="宋体" w:cs="Times New Roman"/>
          <w:snapToGrid w:val="0"/>
          <w:color w:val="000000"/>
          <w:spacing w:val="17"/>
          <w:kern w:val="0"/>
          <w:sz w:val="21"/>
          <w:szCs w:val="21"/>
          <w:lang w:val="en-US" w:eastAsia="zh-CN"/>
        </w:rPr>
      </w:pPr>
      <w:r>
        <w:rPr>
          <w:rFonts w:hint="default" w:ascii="Times New Roman" w:hAnsi="Times New Roman" w:eastAsia="宋体" w:cs="Times New Roman"/>
          <w:snapToGrid w:val="0"/>
          <w:color w:val="000000"/>
          <w:spacing w:val="17"/>
          <w:kern w:val="0"/>
          <w:sz w:val="21"/>
          <w:szCs w:val="21"/>
          <w:lang w:val="en-US" w:eastAsia="zh-CN"/>
        </w:rPr>
        <w:t>表D.</w:t>
      </w:r>
      <w:r>
        <w:rPr>
          <w:rFonts w:hint="default" w:ascii="Times New Roman" w:hAnsi="Times New Roman" w:cs="Times New Roman"/>
          <w:snapToGrid w:val="0"/>
          <w:color w:val="000000"/>
          <w:spacing w:val="17"/>
          <w:kern w:val="0"/>
          <w:sz w:val="21"/>
          <w:szCs w:val="21"/>
          <w:lang w:val="en-US" w:eastAsia="zh-CN"/>
        </w:rPr>
        <w:t>3</w:t>
      </w:r>
      <w:r>
        <w:rPr>
          <w:rFonts w:hint="default" w:ascii="Times New Roman" w:hAnsi="Times New Roman" w:eastAsia="宋体" w:cs="Times New Roman"/>
          <w:snapToGrid w:val="0"/>
          <w:color w:val="000000"/>
          <w:spacing w:val="17"/>
          <w:kern w:val="0"/>
          <w:sz w:val="21"/>
          <w:szCs w:val="21"/>
          <w:lang w:val="en-US" w:eastAsia="zh-CN"/>
        </w:rPr>
        <w:t xml:space="preserve"> 试剂耗材盘存登记表</w:t>
      </w:r>
    </w:p>
    <w:tbl>
      <w:tblPr>
        <w:tblStyle w:val="33"/>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3"/>
        <w:gridCol w:w="1063"/>
        <w:gridCol w:w="1063"/>
        <w:gridCol w:w="1063"/>
        <w:gridCol w:w="1063"/>
        <w:gridCol w:w="1063"/>
        <w:gridCol w:w="1063"/>
        <w:gridCol w:w="1063"/>
        <w:gridCol w:w="1067"/>
      </w:tblGrid>
      <w:tr w14:paraId="1E40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340CA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试剂耗材名称</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38E2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生产商</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A497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批号</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18CB66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购进日期及有效期</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8296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存放地点及储存条件</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09DC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规格/纯度</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5C44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归还余量</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07DA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库存数量</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D6F2A6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管理人员签字</w:t>
            </w:r>
          </w:p>
        </w:tc>
      </w:tr>
      <w:tr w14:paraId="6B1D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4F1BEFB9">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3AE4F95">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09B2C8B">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ABF90A0">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DF4AE7F">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CBE2785">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D217071">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0C35034">
            <w:pP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3D59505">
            <w:pPr>
              <w:rPr>
                <w:rFonts w:hint="eastAsia" w:ascii="宋体" w:hAnsi="宋体" w:eastAsia="宋体" w:cs="宋体"/>
                <w:i w:val="0"/>
                <w:iCs w:val="0"/>
                <w:color w:val="000000"/>
                <w:sz w:val="18"/>
                <w:szCs w:val="18"/>
                <w:u w:val="none"/>
              </w:rPr>
            </w:pPr>
          </w:p>
        </w:tc>
      </w:tr>
      <w:tr w14:paraId="0120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0A48D3F8">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6AC1C25">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16F7CF1">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9F04B6E">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00FFE20">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EB1DF22">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279A339">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60A7E41">
            <w:pP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C57D51B">
            <w:pPr>
              <w:rPr>
                <w:rFonts w:hint="eastAsia" w:ascii="宋体" w:hAnsi="宋体" w:eastAsia="宋体" w:cs="宋体"/>
                <w:i w:val="0"/>
                <w:iCs w:val="0"/>
                <w:color w:val="000000"/>
                <w:sz w:val="18"/>
                <w:szCs w:val="18"/>
                <w:u w:val="none"/>
              </w:rPr>
            </w:pPr>
          </w:p>
        </w:tc>
      </w:tr>
      <w:tr w14:paraId="332EE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1C6DF901">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2EE330E">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D4B971A">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F0DD329">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35BB409">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1BA504E">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8B933DF">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F94B7A7">
            <w:pP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CA01687">
            <w:pPr>
              <w:rPr>
                <w:rFonts w:hint="eastAsia" w:ascii="宋体" w:hAnsi="宋体" w:eastAsia="宋体" w:cs="宋体"/>
                <w:i w:val="0"/>
                <w:iCs w:val="0"/>
                <w:color w:val="000000"/>
                <w:sz w:val="18"/>
                <w:szCs w:val="18"/>
                <w:u w:val="none"/>
              </w:rPr>
            </w:pPr>
          </w:p>
        </w:tc>
      </w:tr>
      <w:tr w14:paraId="35BF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48411801">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06A5F70">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05AE8B3">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AD35EC7">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825544A">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6440130">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4E37209">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DC30DA1">
            <w:pP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8ECC663">
            <w:pPr>
              <w:rPr>
                <w:rFonts w:hint="eastAsia" w:ascii="宋体" w:hAnsi="宋体" w:eastAsia="宋体" w:cs="宋体"/>
                <w:i w:val="0"/>
                <w:iCs w:val="0"/>
                <w:color w:val="000000"/>
                <w:sz w:val="18"/>
                <w:szCs w:val="18"/>
                <w:u w:val="none"/>
              </w:rPr>
            </w:pPr>
          </w:p>
        </w:tc>
      </w:tr>
      <w:tr w14:paraId="73C7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77C5DC2A">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DE78F76">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85AB83E">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E969AED">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91766DB">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D594CCB">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97A1F76">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D2D6C17">
            <w:pP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84C445B">
            <w:pPr>
              <w:rPr>
                <w:rFonts w:hint="eastAsia" w:ascii="宋体" w:hAnsi="宋体" w:eastAsia="宋体" w:cs="宋体"/>
                <w:i w:val="0"/>
                <w:iCs w:val="0"/>
                <w:color w:val="000000"/>
                <w:sz w:val="18"/>
                <w:szCs w:val="18"/>
                <w:u w:val="none"/>
              </w:rPr>
            </w:pPr>
          </w:p>
        </w:tc>
      </w:tr>
      <w:tr w14:paraId="3764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15520537">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31A4FFF">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44FD3A8">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59FC566">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904FF11">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2BC9897">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3A8FD3C">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B17A2C0">
            <w:pP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6804B03">
            <w:pPr>
              <w:rPr>
                <w:rFonts w:hint="eastAsia" w:ascii="宋体" w:hAnsi="宋体" w:eastAsia="宋体" w:cs="宋体"/>
                <w:i w:val="0"/>
                <w:iCs w:val="0"/>
                <w:color w:val="000000"/>
                <w:sz w:val="18"/>
                <w:szCs w:val="18"/>
                <w:u w:val="none"/>
              </w:rPr>
            </w:pPr>
          </w:p>
        </w:tc>
      </w:tr>
      <w:tr w14:paraId="1F9C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11EEC455">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38F9B07">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263DD55">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1A6508D">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13406EF">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3CC8E1B">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33E3948">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4FCF025">
            <w:pP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BF0DB58">
            <w:pPr>
              <w:rPr>
                <w:rFonts w:hint="eastAsia" w:ascii="宋体" w:hAnsi="宋体" w:eastAsia="宋体" w:cs="宋体"/>
                <w:i w:val="0"/>
                <w:iCs w:val="0"/>
                <w:color w:val="000000"/>
                <w:sz w:val="18"/>
                <w:szCs w:val="18"/>
                <w:u w:val="none"/>
              </w:rPr>
            </w:pPr>
          </w:p>
        </w:tc>
      </w:tr>
      <w:tr w14:paraId="7A75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3" w:type="dxa"/>
            <w:tcBorders>
              <w:top w:val="single" w:color="000000" w:sz="4" w:space="0"/>
              <w:left w:val="single" w:color="000000" w:sz="4" w:space="0"/>
              <w:bottom w:val="single" w:color="000000" w:sz="4" w:space="0"/>
              <w:right w:val="single" w:color="000000" w:sz="4" w:space="0"/>
            </w:tcBorders>
            <w:noWrap/>
            <w:vAlign w:val="center"/>
          </w:tcPr>
          <w:p w14:paraId="5B84033C">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C3762B2">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2776CC4">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7F1984D">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C4A68CE">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1B7E939">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8F35D27">
            <w:pPr>
              <w:rPr>
                <w:rFonts w:hint="eastAsia" w:ascii="宋体" w:hAnsi="宋体" w:eastAsia="宋体" w:cs="宋体"/>
                <w:i w:val="0"/>
                <w:iCs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7DEE845">
            <w:pP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96472D8">
            <w:pPr>
              <w:rPr>
                <w:rFonts w:hint="eastAsia" w:ascii="宋体" w:hAnsi="宋体" w:eastAsia="宋体" w:cs="宋体"/>
                <w:i w:val="0"/>
                <w:iCs w:val="0"/>
                <w:color w:val="000000"/>
                <w:sz w:val="18"/>
                <w:szCs w:val="18"/>
                <w:u w:val="none"/>
              </w:rPr>
            </w:pPr>
          </w:p>
        </w:tc>
      </w:tr>
    </w:tbl>
    <w:p w14:paraId="1A17F9FC">
      <w:pPr>
        <w:widowControl/>
        <w:kinsoku w:val="0"/>
        <w:autoSpaceDE w:val="0"/>
        <w:autoSpaceDN w:val="0"/>
        <w:adjustRightInd w:val="0"/>
        <w:snapToGrid w:val="0"/>
        <w:spacing w:before="68" w:line="310" w:lineRule="exact"/>
        <w:ind w:left="4223"/>
        <w:jc w:val="left"/>
        <w:textAlignment w:val="baseline"/>
        <w:rPr>
          <w:rFonts w:ascii="黑体" w:hAnsi="黑体" w:eastAsia="黑体" w:cs="黑体"/>
          <w:snapToGrid w:val="0"/>
          <w:color w:val="000000"/>
          <w:spacing w:val="10"/>
          <w:kern w:val="0"/>
          <w:szCs w:val="21"/>
        </w:rPr>
        <w:sectPr>
          <w:pgSz w:w="11907" w:h="16839"/>
          <w:pgMar w:top="1418" w:right="1134" w:bottom="1134" w:left="1418" w:header="1418" w:footer="851" w:gutter="0"/>
          <w:pgNumType w:start="1"/>
          <w:cols w:space="720" w:num="1"/>
          <w:docGrid w:type="lines" w:linePitch="312" w:charSpace="0"/>
        </w:sectPr>
      </w:pPr>
    </w:p>
    <w:bookmarkEnd w:id="26"/>
    <w:bookmarkEnd w:id="60"/>
    <w:p w14:paraId="2C63144C">
      <w:pPr>
        <w:pStyle w:val="4"/>
        <w:keepNext/>
        <w:keepLines/>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default" w:ascii="Times New Roman"/>
          <w:szCs w:val="21"/>
          <w:lang w:val="en-US" w:eastAsia="zh-CN"/>
        </w:rPr>
      </w:pPr>
      <w:bookmarkStart w:id="71" w:name="_Toc3304"/>
      <w:bookmarkStart w:id="72" w:name="_Toc15046"/>
      <w:r>
        <w:rPr>
          <w:rFonts w:hint="eastAsia"/>
          <w:lang w:eastAsia="zh-CN"/>
        </w:rPr>
        <w:t>参</w:t>
      </w:r>
      <w:r>
        <w:rPr>
          <w:rFonts w:hint="eastAsia"/>
          <w:lang w:val="en-US" w:eastAsia="zh-CN"/>
        </w:rPr>
        <w:t xml:space="preserve">  </w:t>
      </w:r>
      <w:r>
        <w:rPr>
          <w:rFonts w:hint="eastAsia"/>
          <w:lang w:eastAsia="zh-CN"/>
        </w:rPr>
        <w:t>考</w:t>
      </w:r>
      <w:r>
        <w:rPr>
          <w:rFonts w:hint="eastAsia"/>
          <w:lang w:val="en-US" w:eastAsia="zh-CN"/>
        </w:rPr>
        <w:t xml:space="preserve">  </w:t>
      </w:r>
      <w:r>
        <w:rPr>
          <w:rFonts w:hint="eastAsia"/>
          <w:lang w:eastAsia="zh-CN"/>
        </w:rPr>
        <w:t>文</w:t>
      </w:r>
      <w:r>
        <w:rPr>
          <w:rFonts w:hint="eastAsia"/>
          <w:lang w:val="en-US" w:eastAsia="zh-CN"/>
        </w:rPr>
        <w:t xml:space="preserve">  </w:t>
      </w:r>
      <w:r>
        <w:rPr>
          <w:rFonts w:hint="eastAsia"/>
          <w:lang w:eastAsia="zh-CN"/>
        </w:rPr>
        <w:t>献</w:t>
      </w:r>
      <w:bookmarkEnd w:id="71"/>
      <w:bookmarkEnd w:id="72"/>
    </w:p>
    <w:p w14:paraId="56F2E88A">
      <w:pPr>
        <w:pStyle w:val="6"/>
        <w:numPr>
          <w:ilvl w:val="0"/>
          <w:numId w:val="35"/>
        </w:numPr>
        <w:ind w:firstLine="420"/>
        <w:rPr>
          <w:rFonts w:hint="default" w:ascii="Times New Roman"/>
          <w:szCs w:val="21"/>
          <w:lang w:val="en-US" w:eastAsia="zh-CN"/>
        </w:rPr>
      </w:pPr>
      <w:r>
        <w:rPr>
          <w:rFonts w:hint="eastAsia" w:ascii="Times New Roman"/>
          <w:szCs w:val="21"/>
          <w:lang w:val="en-US" w:eastAsia="zh-CN"/>
        </w:rPr>
        <w:t>DB 11/T 2195 生产经营单位安全生产台账基础数据元规范</w:t>
      </w:r>
    </w:p>
    <w:p w14:paraId="714E6308">
      <w:pPr>
        <w:pStyle w:val="6"/>
        <w:numPr>
          <w:ilvl w:val="0"/>
          <w:numId w:val="35"/>
        </w:numPr>
        <w:ind w:firstLine="420"/>
        <w:rPr>
          <w:rFonts w:hint="default" w:ascii="Times New Roman"/>
          <w:szCs w:val="21"/>
          <w:lang w:val="en-US" w:eastAsia="zh-CN"/>
        </w:rPr>
      </w:pPr>
      <w:r>
        <w:rPr>
          <w:rFonts w:hint="eastAsia" w:ascii="Times New Roman"/>
          <w:szCs w:val="21"/>
          <w:lang w:val="en-US" w:eastAsia="zh-CN"/>
        </w:rPr>
        <w:t>DB 32/T 3740 定点医药机构药品“进销存”监管工作规范</w:t>
      </w:r>
    </w:p>
    <w:p w14:paraId="47611F24">
      <w:pPr>
        <w:pStyle w:val="6"/>
        <w:numPr>
          <w:ilvl w:val="0"/>
          <w:numId w:val="35"/>
        </w:numPr>
        <w:ind w:firstLine="420"/>
        <w:rPr>
          <w:rFonts w:hint="default" w:ascii="Times New Roman"/>
          <w:szCs w:val="21"/>
          <w:lang w:val="en-US" w:eastAsia="zh-CN"/>
        </w:rPr>
      </w:pPr>
      <w:r>
        <w:rPr>
          <w:rFonts w:hint="eastAsia" w:ascii="Times New Roman"/>
          <w:szCs w:val="21"/>
          <w:lang w:val="en-US" w:eastAsia="zh-CN"/>
        </w:rPr>
        <w:t>DB 3206/T 1016 港口普通货物码头企业安全管理台账编制指南</w:t>
      </w:r>
    </w:p>
    <w:p w14:paraId="1B807B41">
      <w:pPr>
        <w:pStyle w:val="6"/>
        <w:numPr>
          <w:ilvl w:val="0"/>
          <w:numId w:val="35"/>
        </w:numPr>
        <w:ind w:firstLine="420"/>
        <w:rPr>
          <w:rFonts w:hint="default" w:ascii="Times New Roman"/>
          <w:szCs w:val="21"/>
          <w:lang w:val="en-US" w:eastAsia="zh-CN"/>
        </w:rPr>
      </w:pPr>
      <w:r>
        <w:rPr>
          <w:rFonts w:hint="eastAsia" w:ascii="Times New Roman"/>
          <w:szCs w:val="21"/>
          <w:lang w:val="en-US" w:eastAsia="zh-CN"/>
        </w:rPr>
        <w:t>DB 3206/T 1075 水运工程施工安全管理台账编制导则</w:t>
      </w:r>
    </w:p>
    <w:p w14:paraId="44CD7BA8">
      <w:pPr>
        <w:pStyle w:val="6"/>
        <w:numPr>
          <w:ilvl w:val="0"/>
          <w:numId w:val="35"/>
        </w:numPr>
        <w:ind w:firstLine="420"/>
        <w:rPr>
          <w:rFonts w:hint="default" w:ascii="Times New Roman"/>
          <w:szCs w:val="21"/>
          <w:lang w:val="en-US" w:eastAsia="zh-CN"/>
        </w:rPr>
      </w:pPr>
      <w:r>
        <w:rPr>
          <w:rFonts w:hint="eastAsia" w:ascii="Times New Roman"/>
          <w:szCs w:val="21"/>
          <w:lang w:val="en-US" w:eastAsia="zh-CN"/>
        </w:rPr>
        <w:t>DB 35/T 2114 畜禽粪污处理和粪肥利用台账要求</w:t>
      </w:r>
    </w:p>
    <w:p w14:paraId="068B073E">
      <w:pPr>
        <w:pStyle w:val="6"/>
        <w:numPr>
          <w:ilvl w:val="0"/>
          <w:numId w:val="35"/>
        </w:numPr>
        <w:ind w:firstLine="420"/>
        <w:rPr>
          <w:rFonts w:hint="default" w:ascii="Times New Roman"/>
          <w:szCs w:val="21"/>
          <w:lang w:val="en-US" w:eastAsia="zh-CN"/>
        </w:rPr>
      </w:pPr>
      <w:r>
        <w:rPr>
          <w:rFonts w:hint="eastAsia" w:ascii="Times New Roman"/>
          <w:szCs w:val="21"/>
          <w:lang w:val="en-US" w:eastAsia="zh-CN"/>
        </w:rPr>
        <w:t>DB 4212/T 40 特种设备安全监察台账设置规范（试行）</w:t>
      </w:r>
    </w:p>
    <w:p w14:paraId="78C2A0A5">
      <w:pPr>
        <w:pStyle w:val="6"/>
        <w:numPr>
          <w:ilvl w:val="0"/>
          <w:numId w:val="35"/>
        </w:numPr>
        <w:ind w:firstLine="420"/>
        <w:rPr>
          <w:rFonts w:hint="default" w:ascii="Times New Roman"/>
          <w:szCs w:val="21"/>
          <w:lang w:val="en-US" w:eastAsia="zh-CN"/>
        </w:rPr>
      </w:pPr>
      <w:r>
        <w:rPr>
          <w:rFonts w:hint="eastAsia" w:ascii="Times New Roman"/>
          <w:szCs w:val="21"/>
          <w:lang w:val="en-US" w:eastAsia="zh-CN"/>
        </w:rPr>
        <w:t>DB 4403/T 190 食品经营者追溯电子台账规范</w:t>
      </w:r>
    </w:p>
    <w:p w14:paraId="67F7A564">
      <w:pPr>
        <w:pStyle w:val="6"/>
        <w:numPr>
          <w:ilvl w:val="0"/>
          <w:numId w:val="35"/>
        </w:numPr>
        <w:ind w:firstLine="420"/>
        <w:rPr>
          <w:rFonts w:hint="default" w:ascii="Times New Roman"/>
          <w:szCs w:val="21"/>
          <w:lang w:val="en-US" w:eastAsia="zh-CN"/>
        </w:rPr>
      </w:pPr>
      <w:r>
        <w:rPr>
          <w:rFonts w:hint="eastAsia" w:ascii="Times New Roman"/>
          <w:szCs w:val="21"/>
          <w:lang w:val="en-US" w:eastAsia="zh-CN"/>
        </w:rPr>
        <w:t>DB 6523/T 350 农产品检测实验室危险化学品安全管理规范</w:t>
      </w:r>
    </w:p>
    <w:p w14:paraId="6F3EF0B5">
      <w:pPr>
        <w:pStyle w:val="6"/>
        <w:numPr>
          <w:ilvl w:val="0"/>
          <w:numId w:val="35"/>
        </w:numPr>
        <w:ind w:firstLine="420"/>
        <w:rPr>
          <w:rFonts w:hint="eastAsia" w:ascii="Times New Roman" w:hAnsi="Times New Roman" w:eastAsia="宋体" w:cs="Times New Roman"/>
          <w:szCs w:val="21"/>
        </w:rPr>
      </w:pPr>
      <w:r>
        <w:rPr>
          <w:rFonts w:hint="eastAsia" w:ascii="Times New Roman"/>
          <w:szCs w:val="21"/>
          <w:lang w:val="en-US" w:eastAsia="zh-CN"/>
        </w:rPr>
        <w:t>LS/T 1804 粮食出入库业务信息系统技术规范</w:t>
      </w:r>
    </w:p>
    <w:p w14:paraId="5CC016BA">
      <w:pPr>
        <w:pStyle w:val="6"/>
        <w:numPr>
          <w:ilvl w:val="0"/>
          <w:numId w:val="35"/>
        </w:numPr>
        <w:ind w:firstLine="420"/>
        <w:rPr>
          <w:rFonts w:hint="default" w:ascii="Times New Roman"/>
          <w:szCs w:val="21"/>
          <w:lang w:val="en-US" w:eastAsia="zh-CN"/>
        </w:rPr>
      </w:pPr>
      <w:r>
        <w:rPr>
          <w:rFonts w:hint="eastAsia" w:ascii="Times New Roman"/>
          <w:szCs w:val="21"/>
          <w:lang w:val="en-US" w:eastAsia="zh-CN"/>
        </w:rPr>
        <w:t>SN/T-4852 食品检测用固相萃取柱评价指南 聚合物离子交换柱</w:t>
      </w:r>
    </w:p>
    <w:p w14:paraId="547D6F1D">
      <w:pPr>
        <w:pStyle w:val="6"/>
        <w:numPr>
          <w:ilvl w:val="0"/>
          <w:numId w:val="35"/>
        </w:numPr>
        <w:ind w:firstLine="420"/>
        <w:rPr>
          <w:rFonts w:hint="default" w:ascii="Times New Roman"/>
          <w:szCs w:val="21"/>
          <w:lang w:val="en-US" w:eastAsia="zh-CN"/>
        </w:rPr>
      </w:pPr>
      <w:r>
        <w:rPr>
          <w:rFonts w:hint="eastAsia" w:ascii="Times New Roman"/>
          <w:szCs w:val="21"/>
          <w:lang w:val="en-US" w:eastAsia="zh-CN"/>
        </w:rPr>
        <w:t>CAIQC-GC-002 关键试剂耗材评价 HLB固相萃取柱</w:t>
      </w:r>
    </w:p>
    <w:p w14:paraId="7FE58A4D">
      <w:pPr>
        <w:pStyle w:val="6"/>
        <w:numPr>
          <w:ilvl w:val="0"/>
          <w:numId w:val="35"/>
        </w:numPr>
        <w:ind w:firstLine="420"/>
        <w:rPr>
          <w:rFonts w:hint="default" w:ascii="Times New Roman"/>
          <w:szCs w:val="21"/>
          <w:lang w:val="en-US" w:eastAsia="zh-CN"/>
        </w:rPr>
      </w:pPr>
      <w:r>
        <w:rPr>
          <w:rFonts w:hint="eastAsia" w:ascii="Times New Roman"/>
          <w:szCs w:val="21"/>
          <w:lang w:val="en-US" w:eastAsia="zh-CN"/>
        </w:rPr>
        <w:t>JJF 1342 标准物质（研制）生产机构通用要求</w:t>
      </w:r>
    </w:p>
    <w:p w14:paraId="244A2147">
      <w:pPr>
        <w:pStyle w:val="6"/>
        <w:numPr>
          <w:ilvl w:val="0"/>
          <w:numId w:val="35"/>
        </w:numPr>
        <w:ind w:firstLine="420"/>
        <w:rPr>
          <w:rFonts w:hint="default" w:ascii="Times New Roman"/>
          <w:szCs w:val="21"/>
          <w:lang w:val="en-US" w:eastAsia="zh-CN"/>
        </w:rPr>
      </w:pPr>
      <w:r>
        <w:rPr>
          <w:rFonts w:hint="eastAsia" w:ascii="Times New Roman"/>
          <w:szCs w:val="21"/>
          <w:lang w:val="en-US" w:eastAsia="zh-CN"/>
        </w:rPr>
        <w:t>T/CBJ 2213 白酒智能酿造 基酒分级入库 红外光谱法应用指南</w:t>
      </w:r>
    </w:p>
    <w:p w14:paraId="6385E9C0">
      <w:pPr>
        <w:pStyle w:val="6"/>
        <w:numPr>
          <w:ilvl w:val="0"/>
          <w:numId w:val="35"/>
        </w:numPr>
        <w:ind w:firstLine="420"/>
        <w:rPr>
          <w:rFonts w:hint="default" w:ascii="Times New Roman"/>
          <w:szCs w:val="21"/>
          <w:lang w:val="en-US" w:eastAsia="zh-CN"/>
        </w:rPr>
      </w:pPr>
      <w:r>
        <w:rPr>
          <w:rFonts w:hint="eastAsia" w:ascii="Times New Roman"/>
          <w:szCs w:val="21"/>
          <w:lang w:val="en-US" w:eastAsia="zh-CN"/>
        </w:rPr>
        <w:t>T/GBC-19 检验检测机构危险化学品安全管理规范</w:t>
      </w:r>
    </w:p>
    <w:p w14:paraId="5CE4CD89">
      <w:pPr>
        <w:pStyle w:val="6"/>
        <w:numPr>
          <w:ilvl w:val="0"/>
          <w:numId w:val="35"/>
        </w:numPr>
        <w:ind w:firstLine="420"/>
        <w:rPr>
          <w:rFonts w:hint="default" w:ascii="Times New Roman"/>
          <w:szCs w:val="21"/>
          <w:lang w:val="en-US" w:eastAsia="zh-CN"/>
        </w:rPr>
      </w:pPr>
      <w:r>
        <w:rPr>
          <w:rFonts w:hint="eastAsia" w:ascii="Times New Roman"/>
          <w:szCs w:val="21"/>
          <w:lang w:val="en-US" w:eastAsia="zh-CN"/>
        </w:rPr>
        <w:t>T/LNEMA 013 实验室危险化学品储存管理技术规范</w:t>
      </w:r>
    </w:p>
    <w:p w14:paraId="4E220EB7">
      <w:pPr>
        <w:pStyle w:val="6"/>
        <w:numPr>
          <w:ilvl w:val="0"/>
          <w:numId w:val="35"/>
        </w:numPr>
        <w:ind w:firstLine="420"/>
        <w:rPr>
          <w:rFonts w:hint="default" w:ascii="Times New Roman"/>
          <w:szCs w:val="21"/>
          <w:lang w:val="en-US" w:eastAsia="zh-CN"/>
        </w:rPr>
      </w:pPr>
      <w:r>
        <w:rPr>
          <w:rFonts w:hint="eastAsia" w:ascii="Times New Roman"/>
          <w:szCs w:val="21"/>
          <w:lang w:val="en-US" w:eastAsia="zh-CN"/>
        </w:rPr>
        <w:t>T/LZZLXH036 实验室危险化学品安全管理规范</w:t>
      </w:r>
    </w:p>
    <w:p w14:paraId="67C4696C">
      <w:pPr>
        <w:pStyle w:val="6"/>
        <w:numPr>
          <w:ilvl w:val="0"/>
          <w:numId w:val="0"/>
        </w:numPr>
        <w:rPr>
          <w:rFonts w:hint="default" w:ascii="Times New Roman"/>
          <w:szCs w:val="21"/>
          <w:lang w:val="en-US" w:eastAsia="zh-CN"/>
        </w:rPr>
      </w:pPr>
    </w:p>
    <w:p w14:paraId="6D3380D0">
      <w:pPr>
        <w:pStyle w:val="6"/>
        <w:numPr>
          <w:ilvl w:val="0"/>
          <w:numId w:val="0"/>
        </w:numPr>
        <w:rPr>
          <w:rFonts w:hint="default" w:ascii="Times New Roman"/>
          <w:szCs w:val="21"/>
          <w:lang w:val="en-US" w:eastAsia="zh-CN"/>
        </w:rPr>
      </w:pPr>
    </w:p>
    <w:p w14:paraId="3FBAEF3C">
      <w:pPr>
        <w:pStyle w:val="6"/>
        <w:numPr>
          <w:ilvl w:val="0"/>
          <w:numId w:val="0"/>
        </w:numPr>
        <w:autoSpaceDE w:val="0"/>
        <w:autoSpaceDN w:val="0"/>
        <w:jc w:val="both"/>
        <w:rPr>
          <w:rFonts w:hint="default" w:ascii="Times New Roman"/>
          <w:szCs w:val="21"/>
          <w:lang w:val="en-US" w:eastAsia="zh-CN"/>
        </w:rPr>
      </w:pPr>
    </w:p>
    <w:p w14:paraId="18B8211B">
      <w:pPr>
        <w:pStyle w:val="6"/>
        <w:numPr>
          <w:ilvl w:val="0"/>
          <w:numId w:val="0"/>
        </w:numPr>
        <w:rPr>
          <w:rFonts w:hint="eastAsia"/>
          <w:lang w:val="en-US" w:eastAsia="zh-CN"/>
        </w:rPr>
      </w:pPr>
    </w:p>
    <w:p w14:paraId="707B1FBB">
      <w:pPr>
        <w:pStyle w:val="6"/>
        <w:numPr>
          <w:ilvl w:val="0"/>
          <w:numId w:val="0"/>
        </w:numPr>
        <w:rPr>
          <w:rFonts w:hint="eastAsia"/>
          <w:lang w:val="en-US" w:eastAsia="zh-CN"/>
        </w:rPr>
      </w:pPr>
    </w:p>
    <w:p w14:paraId="21C772A6">
      <w:pPr>
        <w:pStyle w:val="6"/>
        <w:numPr>
          <w:ilvl w:val="0"/>
          <w:numId w:val="0"/>
        </w:numPr>
        <w:rPr>
          <w:rFonts w:hint="eastAsia"/>
          <w:lang w:val="en-US" w:eastAsia="zh-CN"/>
        </w:rPr>
      </w:pPr>
    </w:p>
    <w:bookmarkEnd w:id="14"/>
    <w:bookmarkEnd w:id="15"/>
    <w:p w14:paraId="70F7ED8E">
      <w:pPr>
        <w:pStyle w:val="63"/>
        <w:ind w:firstLine="0" w:firstLineChars="0"/>
        <w:jc w:val="both"/>
      </w:pPr>
    </w:p>
    <w:sectPr>
      <w:headerReference r:id="rId19" w:type="default"/>
      <w:footerReference r:id="rId21" w:type="default"/>
      <w:headerReference r:id="rId20" w:type="even"/>
      <w:footerReference r:id="rId22" w:type="even"/>
      <w:pgSz w:w="11906" w:h="16838"/>
      <w:pgMar w:top="1417" w:right="1134" w:bottom="1134" w:left="1417"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B2C4">
    <w:pPr>
      <w:pStyle w:val="2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80B2B">
    <w:pPr>
      <w:pStyle w:val="59"/>
    </w:pPr>
    <w:r>
      <w:fldChar w:fldCharType="begin"/>
    </w:r>
    <w:r>
      <w:instrText xml:space="preserve">PAGE   \* MERGEFORMAT</w:instrText>
    </w:r>
    <w:r>
      <w:fldChar w:fldCharType="separate"/>
    </w:r>
    <w:r>
      <w:rPr>
        <w:lang w:val="zh-CN"/>
      </w:rPr>
      <w:t>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AB945">
    <w:pPr>
      <w:pStyle w:val="58"/>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4ABCF">
    <w:pPr>
      <w:pStyle w:val="23"/>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2D662">
    <w:pPr>
      <w:pStyle w:val="2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43A0E">
    <w:pPr>
      <w:pStyle w:val="249"/>
      <w:tabs>
        <w:tab w:val="left" w:pos="5383"/>
        <w:tab w:val="right" w:pos="9475"/>
      </w:tabs>
      <w:jc w:val="left"/>
      <w:rPr>
        <w:rStyle w:val="37"/>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B71737">
                          <w:pPr>
                            <w:pStyle w:val="249"/>
                          </w:pPr>
                          <w:r>
                            <w:rPr>
                              <w:rStyle w:val="37"/>
                            </w:rPr>
                            <w:fldChar w:fldCharType="begin"/>
                          </w:r>
                          <w:r>
                            <w:rPr>
                              <w:rStyle w:val="37"/>
                            </w:rPr>
                            <w:instrText xml:space="preserve">PAGE  </w:instrText>
                          </w:r>
                          <w:r>
                            <w:rPr>
                              <w:rStyle w:val="37"/>
                            </w:rPr>
                            <w:fldChar w:fldCharType="separate"/>
                          </w:r>
                          <w:r>
                            <w:rPr>
                              <w:rStyle w:val="37"/>
                            </w:rPr>
                            <w:t>I</w:t>
                          </w:r>
                          <w:r>
                            <w:rPr>
                              <w:rStyle w:val="37"/>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jH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MeyQEAAJkDAAAOAAAAAAAAAAEAIAAAAB4BAABkcnMvZTJvRG9j&#10;LnhtbFBLBQYAAAAABgAGAFkBAABZBQAAAAA=&#10;">
              <v:fill on="f" focussize="0,0"/>
              <v:stroke on="f"/>
              <v:imagedata o:title=""/>
              <o:lock v:ext="edit" aspectratio="f"/>
              <v:textbox inset="0mm,0mm,0mm,0mm" style="mso-fit-shape-to-text:t;">
                <w:txbxContent>
                  <w:p w14:paraId="7AB71737">
                    <w:pPr>
                      <w:pStyle w:val="249"/>
                    </w:pPr>
                    <w:r>
                      <w:rPr>
                        <w:rStyle w:val="37"/>
                      </w:rPr>
                      <w:fldChar w:fldCharType="begin"/>
                    </w:r>
                    <w:r>
                      <w:rPr>
                        <w:rStyle w:val="37"/>
                      </w:rPr>
                      <w:instrText xml:space="preserve">PAGE  </w:instrText>
                    </w:r>
                    <w:r>
                      <w:rPr>
                        <w:rStyle w:val="37"/>
                      </w:rPr>
                      <w:fldChar w:fldCharType="separate"/>
                    </w:r>
                    <w:r>
                      <w:rPr>
                        <w:rStyle w:val="37"/>
                      </w:rPr>
                      <w:t>I</w:t>
                    </w:r>
                    <w:r>
                      <w:rPr>
                        <w:rStyle w:val="37"/>
                      </w:rPr>
                      <w:fldChar w:fldCharType="end"/>
                    </w:r>
                  </w:p>
                </w:txbxContent>
              </v:textbox>
            </v:shape>
          </w:pict>
        </mc:Fallback>
      </mc:AlternateContent>
    </w:r>
    <w:r>
      <w:rPr>
        <w:rStyle w:val="37"/>
        <w:rFonts w:hint="eastAsia"/>
      </w:rPr>
      <w:tab/>
    </w:r>
    <w:r>
      <w:rPr>
        <w:rStyle w:val="37"/>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BA272">
    <w:pPr>
      <w:pStyle w:val="250"/>
      <w:rPr>
        <w:rStyle w:val="37"/>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D3408">
                          <w:pPr>
                            <w:pStyle w:val="250"/>
                          </w:pPr>
                          <w:r>
                            <w:rPr>
                              <w:rStyle w:val="37"/>
                            </w:rPr>
                            <w:fldChar w:fldCharType="begin"/>
                          </w:r>
                          <w:r>
                            <w:rPr>
                              <w:rStyle w:val="37"/>
                            </w:rPr>
                            <w:instrText xml:space="preserve">PAGE  </w:instrText>
                          </w:r>
                          <w:r>
                            <w:rPr>
                              <w:rStyle w:val="37"/>
                            </w:rPr>
                            <w:fldChar w:fldCharType="separate"/>
                          </w:r>
                          <w:r>
                            <w:rPr>
                              <w:rStyle w:val="37"/>
                            </w:rPr>
                            <w:t>II</w:t>
                          </w:r>
                          <w:r>
                            <w:rPr>
                              <w:rStyle w:val="37"/>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qcYM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wElcdzixM8/f5x//Tn//k6u&#10;sz59gBrTHgImpuGDHzB39gM6M+1BRZu/SIhgHKFOF3XlkIjIj1bL1arCkMDYfEF89vg8REgfpbck&#10;Gw2NOL6iKj/eQRpT55RczflbbUwZoXH/ORAze1jufewxW2nYDROhnW9PyKfHyTfU4aJTYj45FBb7&#10;S7MRZ2M3G4cQ9b4rW5TrQXh/SNhE6S1XGGGnwjiywm5ar7wT/95L1uMvt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KanGDIAQAAmgMAAA4AAAAAAAAAAQAgAAAAHgEAAGRycy9lMm9Eb2Mu&#10;eG1sUEsFBgAAAAAGAAYAWQEAAFgFAAAAAA==&#10;">
              <v:fill on="f" focussize="0,0"/>
              <v:stroke on="f"/>
              <v:imagedata o:title=""/>
              <o:lock v:ext="edit" aspectratio="f"/>
              <v:textbox inset="0mm,0mm,0mm,0mm" style="mso-fit-shape-to-text:t;">
                <w:txbxContent>
                  <w:p w14:paraId="611D3408">
                    <w:pPr>
                      <w:pStyle w:val="250"/>
                    </w:pPr>
                    <w:r>
                      <w:rPr>
                        <w:rStyle w:val="37"/>
                      </w:rPr>
                      <w:fldChar w:fldCharType="begin"/>
                    </w:r>
                    <w:r>
                      <w:rPr>
                        <w:rStyle w:val="37"/>
                      </w:rPr>
                      <w:instrText xml:space="preserve">PAGE  </w:instrText>
                    </w:r>
                    <w:r>
                      <w:rPr>
                        <w:rStyle w:val="37"/>
                      </w:rPr>
                      <w:fldChar w:fldCharType="separate"/>
                    </w:r>
                    <w:r>
                      <w:rPr>
                        <w:rStyle w:val="37"/>
                      </w:rPr>
                      <w:t>II</w:t>
                    </w:r>
                    <w:r>
                      <w:rPr>
                        <w:rStyle w:val="37"/>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1D841">
    <w:pPr>
      <w:pStyle w:val="249"/>
      <w:rPr>
        <w:rStyle w:val="37"/>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7D9BE6">
                          <w:pPr>
                            <w:pStyle w:val="23"/>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227D9BE6">
                    <w:pPr>
                      <w:pStyle w:val="2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D3F71">
    <w:pPr>
      <w:pStyle w:val="250"/>
      <w:tabs>
        <w:tab w:val="center" w:pos="4677"/>
      </w:tabs>
      <w:rPr>
        <w:rStyle w:val="37"/>
        <w:rFonts w:hint="eastAsia"/>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4E9213">
                          <w:pPr>
                            <w:pStyle w:val="23"/>
                          </w:pPr>
                          <w:r>
                            <w:fldChar w:fldCharType="begin"/>
                          </w:r>
                          <w:r>
                            <w:instrText xml:space="preserve"> PAGE  \* MERGEFORMAT </w:instrText>
                          </w:r>
                          <w:r>
                            <w:fldChar w:fldCharType="separate"/>
                          </w:r>
                          <w:r>
                            <w:t>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054E9213">
                    <w:pPr>
                      <w:pStyle w:val="23"/>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E4852">
    <w:pPr>
      <w:pStyle w:val="249"/>
      <w:rPr>
        <w:rStyle w:val="37"/>
      </w:rP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137949">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0D137949">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7FF48">
    <w:pPr>
      <w:pStyle w:val="250"/>
      <w:rPr>
        <w:rStyle w:val="37"/>
      </w:rPr>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863381">
                          <w:pPr>
                            <w:pStyle w:val="2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6F863381">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9255">
    <w:pPr>
      <w:pStyle w:val="24"/>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5029">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0B3BA">
    <w:pPr>
      <w:pStyle w:val="2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FD4BC">
    <w:pPr>
      <w:pStyle w:val="256"/>
      <w:rPr>
        <w:rFonts w:hint="eastAsia" w:eastAsia="宋体"/>
        <w:lang w:val="en-US" w:eastAsia="zh-CN"/>
      </w:rPr>
    </w:pPr>
    <w:r>
      <w:t>DB</w:t>
    </w:r>
    <w:r>
      <w:rPr>
        <w:rFonts w:hint="eastAsia"/>
        <w:lang w:val="en-US" w:eastAsia="zh-CN"/>
      </w:rPr>
      <w:t>42</w:t>
    </w:r>
    <w:r>
      <w:t>/T</w:t>
    </w:r>
    <w:r>
      <w:rPr>
        <w:rFonts w:hint="eastAsia"/>
        <w:lang w:val="en-US" w:eastAsia="zh-CN"/>
      </w:rPr>
      <w:t xml:space="preserve"> XXXX-202X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A057">
    <w:pPr>
      <w:pStyle w:val="257"/>
      <w:jc w:val="center"/>
      <w:rPr>
        <w:rFonts w:hint="default" w:eastAsia="宋体"/>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F0684">
    <w:pPr>
      <w:pStyle w:val="68"/>
    </w:pPr>
    <w:r>
      <w:rPr>
        <w:rFonts w:hint="eastAsia"/>
      </w:rPr>
      <w:t>DB42/T XXXX-</w:t>
    </w:r>
    <w:r>
      <w:t>2024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977F6">
    <w:pPr>
      <w:pStyle w:val="69"/>
    </w:pPr>
    <w:r>
      <w:fldChar w:fldCharType="begin"/>
    </w:r>
    <w:r>
      <w:instrText xml:space="preserve"> STYLEREF  标准文件_文件编号 \* MERGEFORMAT </w:instrText>
    </w:r>
    <w:r>
      <w:fldChar w:fldCharType="separate"/>
    </w:r>
    <w:r>
      <w:t>DB42/T XXXX—202X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6"/>
      <w:suff w:val="nothing"/>
      <w:lvlText w:val="%1%2.%3　"/>
      <w:lvlJc w:val="left"/>
      <w:pPr>
        <w:ind w:left="0" w:firstLine="0"/>
      </w:pPr>
    </w:lvl>
    <w:lvl w:ilvl="3" w:tentative="0">
      <w:start w:val="1"/>
      <w:numFmt w:val="decimal"/>
      <w:pStyle w:val="125"/>
      <w:suff w:val="nothing"/>
      <w:lvlText w:val="%1%2.%3.%4　"/>
      <w:lvlJc w:val="left"/>
      <w:pPr>
        <w:ind w:left="0" w:firstLine="0"/>
      </w:pPr>
    </w:lvl>
    <w:lvl w:ilvl="4" w:tentative="0">
      <w:start w:val="1"/>
      <w:numFmt w:val="decimal"/>
      <w:pStyle w:val="160"/>
      <w:suff w:val="nothing"/>
      <w:lvlText w:val="%1%2.%3.%4.%5　"/>
      <w:lvlJc w:val="left"/>
      <w:pPr>
        <w:ind w:left="0" w:firstLine="0"/>
      </w:pPr>
    </w:lvl>
    <w:lvl w:ilvl="5" w:tentative="0">
      <w:start w:val="1"/>
      <w:numFmt w:val="decimal"/>
      <w:pStyle w:val="162"/>
      <w:suff w:val="nothing"/>
      <w:lvlText w:val="%1%2.%3.%4.%5.%6　"/>
      <w:lvlJc w:val="left"/>
      <w:pPr>
        <w:ind w:left="0" w:firstLine="0"/>
      </w:pPr>
    </w:lvl>
    <w:lvl w:ilvl="6" w:tentative="0">
      <w:start w:val="1"/>
      <w:numFmt w:val="decimal"/>
      <w:pStyle w:val="165"/>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6"/>
      <w:lvlText w:val="%1"/>
      <w:lvlJc w:val="left"/>
      <w:pPr>
        <w:ind w:left="425" w:hanging="425"/>
      </w:pPr>
      <w:rPr>
        <w:rFonts w:hint="eastAsia"/>
      </w:rPr>
    </w:lvl>
    <w:lvl w:ilvl="1" w:tentative="0">
      <w:start w:val="1"/>
      <w:numFmt w:val="decimal"/>
      <w:pStyle w:val="207"/>
      <w:suff w:val="nothing"/>
      <w:lvlText w:val="%10.%2 "/>
      <w:lvlJc w:val="left"/>
      <w:pPr>
        <w:ind w:left="0" w:firstLine="0"/>
      </w:pPr>
      <w:rPr>
        <w:rFonts w:hint="eastAsia" w:ascii="黑体" w:eastAsia="黑体" w:hAnsiTheme="minorHAnsi"/>
        <w:b w:val="0"/>
        <w:i w:val="0"/>
        <w:sz w:val="21"/>
      </w:rPr>
    </w:lvl>
    <w:lvl w:ilvl="2" w:tentative="0">
      <w:start w:val="1"/>
      <w:numFmt w:val="decimal"/>
      <w:pStyle w:val="208"/>
      <w:suff w:val="nothing"/>
      <w:lvlText w:val="%10.%2.%3 "/>
      <w:lvlJc w:val="left"/>
      <w:pPr>
        <w:ind w:left="0" w:firstLine="0"/>
      </w:pPr>
      <w:rPr>
        <w:rFonts w:hint="eastAsia" w:ascii="黑体" w:eastAsia="黑体" w:hAnsiTheme="minorHAnsi"/>
        <w:b w:val="0"/>
        <w:i w:val="0"/>
        <w:sz w:val="21"/>
      </w:rPr>
    </w:lvl>
    <w:lvl w:ilvl="3" w:tentative="0">
      <w:start w:val="1"/>
      <w:numFmt w:val="decimal"/>
      <w:pStyle w:val="209"/>
      <w:suff w:val="nothing"/>
      <w:lvlText w:val="%10.%2.%3.%4 "/>
      <w:lvlJc w:val="left"/>
      <w:pPr>
        <w:ind w:left="0" w:firstLine="0"/>
      </w:pPr>
      <w:rPr>
        <w:rFonts w:hint="eastAsia" w:ascii="黑体" w:eastAsia="黑体" w:hAnsiTheme="minorHAnsi"/>
        <w:b w:val="0"/>
        <w:i w:val="0"/>
        <w:sz w:val="21"/>
      </w:rPr>
    </w:lvl>
    <w:lvl w:ilvl="4" w:tentative="0">
      <w:start w:val="1"/>
      <w:numFmt w:val="decimal"/>
      <w:pStyle w:val="210"/>
      <w:suff w:val="nothing"/>
      <w:lvlText w:val="%10.%2.%3.%4.%5 "/>
      <w:lvlJc w:val="left"/>
      <w:pPr>
        <w:ind w:left="0" w:firstLine="0"/>
      </w:pPr>
      <w:rPr>
        <w:rFonts w:hint="eastAsia" w:ascii="黑体" w:eastAsia="黑体" w:hAnsiTheme="minorHAnsi"/>
        <w:b w:val="0"/>
        <w:i w:val="0"/>
        <w:sz w:val="21"/>
      </w:rPr>
    </w:lvl>
    <w:lvl w:ilvl="5" w:tentative="0">
      <w:start w:val="1"/>
      <w:numFmt w:val="decimal"/>
      <w:pStyle w:val="211"/>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8"/>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4"/>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7"/>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2"/>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D735331"/>
    <w:multiLevelType w:val="singleLevel"/>
    <w:tmpl w:val="1D735331"/>
    <w:lvl w:ilvl="0" w:tentative="0">
      <w:start w:val="1"/>
      <w:numFmt w:val="decimal"/>
      <w:suff w:val="space"/>
      <w:lvlText w:val="[%1]"/>
      <w:lvlJc w:val="left"/>
    </w:lvl>
  </w:abstractNum>
  <w:abstractNum w:abstractNumId="10">
    <w:nsid w:val="1EAA1992"/>
    <w:multiLevelType w:val="multilevel"/>
    <w:tmpl w:val="1EAA1992"/>
    <w:lvl w:ilvl="0" w:tentative="0">
      <w:start w:val="1"/>
      <w:numFmt w:val="none"/>
      <w:pStyle w:val="9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5"/>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239"/>
      <w:suff w:val="nothing"/>
      <w:lvlText w:val="%1.%2　"/>
      <w:lvlJc w:val="left"/>
      <w:pPr>
        <w:ind w:left="751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4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41"/>
      <w:suff w:val="nothing"/>
      <w:lvlText w:val="%1.%2.%3.%4.%5　"/>
      <w:lvlJc w:val="left"/>
      <w:pPr>
        <w:ind w:left="0" w:firstLine="0"/>
      </w:pPr>
      <w:rPr>
        <w:rFonts w:hint="eastAsia" w:ascii="黑体" w:hAnsi="Times New Roman" w:eastAsia="黑体"/>
        <w:b w:val="0"/>
        <w:i w:val="0"/>
        <w:sz w:val="21"/>
      </w:rPr>
    </w:lvl>
    <w:lvl w:ilvl="5" w:tentative="0">
      <w:start w:val="1"/>
      <w:numFmt w:val="decimal"/>
      <w:pStyle w:val="24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2827D5B"/>
    <w:multiLevelType w:val="multilevel"/>
    <w:tmpl w:val="22827D5B"/>
    <w:lvl w:ilvl="0" w:tentative="0">
      <w:start w:val="1"/>
      <w:numFmt w:val="none"/>
      <w:pStyle w:val="24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3">
    <w:nsid w:val="2C5917C3"/>
    <w:multiLevelType w:val="multilevel"/>
    <w:tmpl w:val="2C5917C3"/>
    <w:lvl w:ilvl="0" w:tentative="0">
      <w:start w:val="1"/>
      <w:numFmt w:val="none"/>
      <w:pStyle w:val="139"/>
      <w:lvlText w:val="%1——"/>
      <w:lvlJc w:val="left"/>
      <w:pPr>
        <w:tabs>
          <w:tab w:val="left" w:pos="851"/>
        </w:tabs>
        <w:ind w:left="851" w:hanging="426"/>
      </w:pPr>
      <w:rPr>
        <w:rFonts w:hint="default" w:ascii="Arial" w:hAnsi="Arial" w:eastAsia="宋体" w:cs="Arial"/>
        <w:b w:val="0"/>
        <w:i w:val="0"/>
        <w:sz w:val="21"/>
      </w:rPr>
    </w:lvl>
    <w:lvl w:ilvl="1" w:tentative="0">
      <w:start w:val="1"/>
      <w:numFmt w:val="none"/>
      <w:pStyle w:val="194"/>
      <w:lvlText w:val=""/>
      <w:lvlJc w:val="left"/>
      <w:pPr>
        <w:ind w:left="851" w:hanging="431"/>
      </w:pPr>
      <w:rPr>
        <w:rFonts w:hint="default" w:ascii="Symbol" w:hAnsi="Symbol"/>
        <w:sz w:val="21"/>
      </w:rPr>
    </w:lvl>
    <w:lvl w:ilvl="2" w:tentative="0">
      <w:start w:val="1"/>
      <w:numFmt w:val="bullet"/>
      <w:pStyle w:val="17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81"/>
      <w:lvlText w:val="%1)"/>
      <w:lvlJc w:val="left"/>
      <w:pPr>
        <w:tabs>
          <w:tab w:val="left" w:pos="851"/>
        </w:tabs>
        <w:ind w:left="851" w:hanging="426"/>
      </w:pPr>
      <w:rPr>
        <w:rFonts w:hint="eastAsia" w:ascii="宋体" w:hAnsi="Times New Roman" w:eastAsia="宋体"/>
        <w:sz w:val="21"/>
      </w:rPr>
    </w:lvl>
    <w:lvl w:ilvl="1" w:tentative="0">
      <w:start w:val="1"/>
      <w:numFmt w:val="decimal"/>
      <w:pStyle w:val="116"/>
      <w:lvlText w:val="%2)"/>
      <w:lvlJc w:val="left"/>
      <w:pPr>
        <w:tabs>
          <w:tab w:val="left" w:pos="1276"/>
        </w:tabs>
        <w:ind w:left="1276" w:hanging="425"/>
      </w:pPr>
      <w:rPr>
        <w:rFonts w:hint="eastAsia" w:ascii="宋体" w:hAnsi="Times New Roman" w:eastAsia="宋体"/>
        <w:sz w:val="21"/>
      </w:rPr>
    </w:lvl>
    <w:lvl w:ilvl="2" w:tentative="0">
      <w:start w:val="1"/>
      <w:numFmt w:val="decimal"/>
      <w:pStyle w:val="124"/>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5"/>
      <w:lvlText w:val="%1"/>
      <w:lvlJc w:val="left"/>
      <w:pPr>
        <w:ind w:left="420" w:hanging="420"/>
      </w:pPr>
      <w:rPr>
        <w:rFonts w:hint="eastAsia"/>
      </w:rPr>
    </w:lvl>
    <w:lvl w:ilvl="1" w:tentative="0">
      <w:start w:val="1"/>
      <w:numFmt w:val="decimal"/>
      <w:pStyle w:val="9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A7C4E21"/>
    <w:multiLevelType w:val="multilevel"/>
    <w:tmpl w:val="4A7C4E21"/>
    <w:lvl w:ilvl="0" w:tentative="0">
      <w:start w:val="1"/>
      <w:numFmt w:val="decimal"/>
      <w:pStyle w:val="24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8">
    <w:nsid w:val="4B733A5F"/>
    <w:multiLevelType w:val="multilevel"/>
    <w:tmpl w:val="4B733A5F"/>
    <w:lvl w:ilvl="0" w:tentative="0">
      <w:start w:val="1"/>
      <w:numFmt w:val="decimal"/>
      <w:pStyle w:val="19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23"/>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100"/>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21"/>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6"/>
      <w:suff w:val="space"/>
      <w:lvlText w:val="%1"/>
      <w:lvlJc w:val="left"/>
      <w:pPr>
        <w:ind w:left="425" w:hanging="425"/>
      </w:pPr>
      <w:rPr>
        <w:rFonts w:hint="eastAsia"/>
      </w:rPr>
    </w:lvl>
    <w:lvl w:ilvl="1" w:tentative="0">
      <w:start w:val="1"/>
      <w:numFmt w:val="decimal"/>
      <w:pStyle w:val="8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8"/>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6"/>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83"/>
      <w:suff w:val="nothing"/>
      <w:lvlText w:val="附录%1"/>
      <w:lvlJc w:val="left"/>
      <w:pPr>
        <w:ind w:left="0" w:firstLine="0"/>
      </w:pPr>
      <w:rPr>
        <w:rFonts w:hint="eastAsia"/>
        <w:spacing w:val="100"/>
      </w:rPr>
    </w:lvl>
    <w:lvl w:ilvl="1" w:tentative="0">
      <w:start w:val="1"/>
      <w:numFmt w:val="decimal"/>
      <w:pStyle w:val="85"/>
      <w:suff w:val="nothing"/>
      <w:lvlText w:val="%1.%2　"/>
      <w:lvlJc w:val="left"/>
      <w:pPr>
        <w:ind w:left="0" w:firstLine="0"/>
      </w:pPr>
      <w:rPr>
        <w:rFonts w:hint="eastAsia" w:ascii="黑体" w:eastAsia="黑体"/>
        <w:b w:val="0"/>
        <w:i w:val="0"/>
        <w:sz w:val="21"/>
      </w:rPr>
    </w:lvl>
    <w:lvl w:ilvl="2" w:tentative="0">
      <w:start w:val="1"/>
      <w:numFmt w:val="decimal"/>
      <w:pStyle w:val="86"/>
      <w:suff w:val="nothing"/>
      <w:lvlText w:val="%1.%2.%3　"/>
      <w:lvlJc w:val="left"/>
      <w:pPr>
        <w:ind w:left="0" w:firstLine="0"/>
      </w:pPr>
      <w:rPr>
        <w:rFonts w:hint="eastAsia" w:ascii="黑体" w:eastAsia="黑体"/>
        <w:b w:val="0"/>
        <w:i w:val="0"/>
        <w:sz w:val="21"/>
      </w:rPr>
    </w:lvl>
    <w:lvl w:ilvl="3" w:tentative="0">
      <w:start w:val="1"/>
      <w:numFmt w:val="decimal"/>
      <w:pStyle w:val="88"/>
      <w:suff w:val="nothing"/>
      <w:lvlText w:val="%1.%2.%3.%4　"/>
      <w:lvlJc w:val="left"/>
      <w:pPr>
        <w:ind w:left="0" w:firstLine="0"/>
      </w:pPr>
      <w:rPr>
        <w:rFonts w:hint="eastAsia" w:ascii="黑体" w:eastAsia="黑体"/>
        <w:b w:val="0"/>
        <w:i w:val="0"/>
        <w:sz w:val="21"/>
      </w:rPr>
    </w:lvl>
    <w:lvl w:ilvl="4" w:tentative="0">
      <w:start w:val="1"/>
      <w:numFmt w:val="decimal"/>
      <w:pStyle w:val="89"/>
      <w:suff w:val="nothing"/>
      <w:lvlText w:val="%1.%2.%3.%4.%5　"/>
      <w:lvlJc w:val="left"/>
      <w:pPr>
        <w:ind w:left="0" w:firstLine="0"/>
      </w:pPr>
      <w:rPr>
        <w:rFonts w:hint="eastAsia" w:ascii="黑体" w:eastAsia="黑体"/>
        <w:b w:val="0"/>
        <w:i w:val="0"/>
        <w:sz w:val="21"/>
      </w:rPr>
    </w:lvl>
    <w:lvl w:ilvl="5" w:tentative="0">
      <w:start w:val="1"/>
      <w:numFmt w:val="decimal"/>
      <w:pStyle w:val="9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0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8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254"/>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6"/>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2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6"/>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0"/>
  </w:num>
  <w:num w:numId="3">
    <w:abstractNumId w:val="5"/>
  </w:num>
  <w:num w:numId="4">
    <w:abstractNumId w:val="27"/>
  </w:num>
  <w:num w:numId="5">
    <w:abstractNumId w:val="22"/>
  </w:num>
  <w:num w:numId="6">
    <w:abstractNumId w:val="16"/>
  </w:num>
  <w:num w:numId="7">
    <w:abstractNumId w:val="8"/>
  </w:num>
  <w:num w:numId="8">
    <w:abstractNumId w:val="3"/>
  </w:num>
  <w:num w:numId="9">
    <w:abstractNumId w:val="10"/>
  </w:num>
  <w:num w:numId="10">
    <w:abstractNumId w:val="20"/>
  </w:num>
  <w:num w:numId="11">
    <w:abstractNumId w:val="29"/>
  </w:num>
  <w:num w:numId="12">
    <w:abstractNumId w:val="14"/>
  </w:num>
  <w:num w:numId="13">
    <w:abstractNumId w:val="15"/>
  </w:num>
  <w:num w:numId="14">
    <w:abstractNumId w:val="7"/>
  </w:num>
  <w:num w:numId="15">
    <w:abstractNumId w:val="23"/>
  </w:num>
  <w:num w:numId="16">
    <w:abstractNumId w:val="25"/>
  </w:num>
  <w:num w:numId="17">
    <w:abstractNumId w:val="21"/>
  </w:num>
  <w:num w:numId="18">
    <w:abstractNumId w:val="33"/>
  </w:num>
  <w:num w:numId="19">
    <w:abstractNumId w:val="19"/>
  </w:num>
  <w:num w:numId="20">
    <w:abstractNumId w:val="1"/>
  </w:num>
  <w:num w:numId="21">
    <w:abstractNumId w:val="13"/>
  </w:num>
  <w:num w:numId="22">
    <w:abstractNumId w:val="34"/>
  </w:num>
  <w:num w:numId="23">
    <w:abstractNumId w:val="24"/>
  </w:num>
  <w:num w:numId="24">
    <w:abstractNumId w:val="6"/>
  </w:num>
  <w:num w:numId="25">
    <w:abstractNumId w:val="30"/>
  </w:num>
  <w:num w:numId="26">
    <w:abstractNumId w:val="32"/>
  </w:num>
  <w:num w:numId="27">
    <w:abstractNumId w:val="2"/>
  </w:num>
  <w:num w:numId="28">
    <w:abstractNumId w:val="4"/>
  </w:num>
  <w:num w:numId="29">
    <w:abstractNumId w:val="18"/>
  </w:num>
  <w:num w:numId="30">
    <w:abstractNumId w:val="28"/>
  </w:num>
  <w:num w:numId="31">
    <w:abstractNumId w:val="26"/>
  </w:num>
  <w:num w:numId="32">
    <w:abstractNumId w:val="17"/>
  </w:num>
  <w:num w:numId="33">
    <w:abstractNumId w:val="12"/>
  </w:num>
  <w:num w:numId="34">
    <w:abstractNumId w:val="3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YzNjNmQ0YjQ4YmUxNDA3NTg0NDljNmM4NjNkOTAifQ=="/>
  </w:docVars>
  <w:rsids>
    <w:rsidRoot w:val="00633684"/>
    <w:rsid w:val="0000040A"/>
    <w:rsid w:val="00000A94"/>
    <w:rsid w:val="000010D0"/>
    <w:rsid w:val="00001972"/>
    <w:rsid w:val="00001C08"/>
    <w:rsid w:val="00001D9A"/>
    <w:rsid w:val="0000212D"/>
    <w:rsid w:val="00002675"/>
    <w:rsid w:val="00006DD8"/>
    <w:rsid w:val="00007B3A"/>
    <w:rsid w:val="00007D65"/>
    <w:rsid w:val="00010468"/>
    <w:rsid w:val="000107E0"/>
    <w:rsid w:val="00011FDE"/>
    <w:rsid w:val="00012FFD"/>
    <w:rsid w:val="00014162"/>
    <w:rsid w:val="0001423D"/>
    <w:rsid w:val="00014340"/>
    <w:rsid w:val="00014733"/>
    <w:rsid w:val="00016A9C"/>
    <w:rsid w:val="00017991"/>
    <w:rsid w:val="00017DAF"/>
    <w:rsid w:val="00022184"/>
    <w:rsid w:val="00022762"/>
    <w:rsid w:val="00022791"/>
    <w:rsid w:val="00022B83"/>
    <w:rsid w:val="000238E0"/>
    <w:rsid w:val="000249DB"/>
    <w:rsid w:val="0002595E"/>
    <w:rsid w:val="00027472"/>
    <w:rsid w:val="000303C3"/>
    <w:rsid w:val="000309D2"/>
    <w:rsid w:val="000331D3"/>
    <w:rsid w:val="000334C4"/>
    <w:rsid w:val="00033DF4"/>
    <w:rsid w:val="000346A5"/>
    <w:rsid w:val="000359C3"/>
    <w:rsid w:val="00035A7D"/>
    <w:rsid w:val="000365ED"/>
    <w:rsid w:val="0004249A"/>
    <w:rsid w:val="00043282"/>
    <w:rsid w:val="00044286"/>
    <w:rsid w:val="00045946"/>
    <w:rsid w:val="00047991"/>
    <w:rsid w:val="00047F28"/>
    <w:rsid w:val="00047FC4"/>
    <w:rsid w:val="000503AA"/>
    <w:rsid w:val="000506A1"/>
    <w:rsid w:val="000515DD"/>
    <w:rsid w:val="0005265A"/>
    <w:rsid w:val="000539DD"/>
    <w:rsid w:val="00053BD3"/>
    <w:rsid w:val="00054BB3"/>
    <w:rsid w:val="000556ED"/>
    <w:rsid w:val="00055FE2"/>
    <w:rsid w:val="0005616F"/>
    <w:rsid w:val="000564EA"/>
    <w:rsid w:val="00060C2E"/>
    <w:rsid w:val="00061033"/>
    <w:rsid w:val="000619E9"/>
    <w:rsid w:val="000622D4"/>
    <w:rsid w:val="0006357D"/>
    <w:rsid w:val="00063AC9"/>
    <w:rsid w:val="00063E64"/>
    <w:rsid w:val="000640FD"/>
    <w:rsid w:val="00065A95"/>
    <w:rsid w:val="000672AC"/>
    <w:rsid w:val="00067F1E"/>
    <w:rsid w:val="00070BFE"/>
    <w:rsid w:val="00071CC0"/>
    <w:rsid w:val="000725B4"/>
    <w:rsid w:val="0007337C"/>
    <w:rsid w:val="00073C8C"/>
    <w:rsid w:val="00073DF5"/>
    <w:rsid w:val="00074FD3"/>
    <w:rsid w:val="00076CAA"/>
    <w:rsid w:val="00077B64"/>
    <w:rsid w:val="00080A1C"/>
    <w:rsid w:val="000818AD"/>
    <w:rsid w:val="00082317"/>
    <w:rsid w:val="00083551"/>
    <w:rsid w:val="00083D2C"/>
    <w:rsid w:val="000852D6"/>
    <w:rsid w:val="00086AA1"/>
    <w:rsid w:val="00087A77"/>
    <w:rsid w:val="00090CA6"/>
    <w:rsid w:val="00092B8A"/>
    <w:rsid w:val="00092FB0"/>
    <w:rsid w:val="000930FA"/>
    <w:rsid w:val="0009322C"/>
    <w:rsid w:val="000934C5"/>
    <w:rsid w:val="000937E5"/>
    <w:rsid w:val="00093D25"/>
    <w:rsid w:val="00093DAB"/>
    <w:rsid w:val="00094D73"/>
    <w:rsid w:val="00095255"/>
    <w:rsid w:val="0009569A"/>
    <w:rsid w:val="0009608A"/>
    <w:rsid w:val="00096D63"/>
    <w:rsid w:val="000A0B60"/>
    <w:rsid w:val="000A0EB8"/>
    <w:rsid w:val="000A117A"/>
    <w:rsid w:val="000A14A8"/>
    <w:rsid w:val="000A19FC"/>
    <w:rsid w:val="000A1C5D"/>
    <w:rsid w:val="000A296B"/>
    <w:rsid w:val="000A2F01"/>
    <w:rsid w:val="000A4450"/>
    <w:rsid w:val="000A45C3"/>
    <w:rsid w:val="000A57DE"/>
    <w:rsid w:val="000A7311"/>
    <w:rsid w:val="000A74DF"/>
    <w:rsid w:val="000A7B23"/>
    <w:rsid w:val="000B060F"/>
    <w:rsid w:val="000B1592"/>
    <w:rsid w:val="000B1FF2"/>
    <w:rsid w:val="000B261C"/>
    <w:rsid w:val="000B2C13"/>
    <w:rsid w:val="000B36D7"/>
    <w:rsid w:val="000B3CDA"/>
    <w:rsid w:val="000B4357"/>
    <w:rsid w:val="000B6A0B"/>
    <w:rsid w:val="000B7A89"/>
    <w:rsid w:val="000C04AC"/>
    <w:rsid w:val="000C0F6C"/>
    <w:rsid w:val="000C11DB"/>
    <w:rsid w:val="000C1492"/>
    <w:rsid w:val="000C15B3"/>
    <w:rsid w:val="000C18EE"/>
    <w:rsid w:val="000C2E85"/>
    <w:rsid w:val="000C2FBD"/>
    <w:rsid w:val="000C4B41"/>
    <w:rsid w:val="000C51AA"/>
    <w:rsid w:val="000C57D6"/>
    <w:rsid w:val="000C5F36"/>
    <w:rsid w:val="000C6119"/>
    <w:rsid w:val="000C6362"/>
    <w:rsid w:val="000C7666"/>
    <w:rsid w:val="000D0A9C"/>
    <w:rsid w:val="000D16C5"/>
    <w:rsid w:val="000D1795"/>
    <w:rsid w:val="000D2077"/>
    <w:rsid w:val="000D329A"/>
    <w:rsid w:val="000D40CA"/>
    <w:rsid w:val="000D45EE"/>
    <w:rsid w:val="000D4B9C"/>
    <w:rsid w:val="000D4E2B"/>
    <w:rsid w:val="000D4EB6"/>
    <w:rsid w:val="000D5595"/>
    <w:rsid w:val="000D753B"/>
    <w:rsid w:val="000E1149"/>
    <w:rsid w:val="000E1C7C"/>
    <w:rsid w:val="000E3F17"/>
    <w:rsid w:val="000E454A"/>
    <w:rsid w:val="000E4C9E"/>
    <w:rsid w:val="000E57AD"/>
    <w:rsid w:val="000E634E"/>
    <w:rsid w:val="000E6FD7"/>
    <w:rsid w:val="000E7BB4"/>
    <w:rsid w:val="000E7D66"/>
    <w:rsid w:val="000F06E1"/>
    <w:rsid w:val="000F0E3C"/>
    <w:rsid w:val="000F19D5"/>
    <w:rsid w:val="000F209E"/>
    <w:rsid w:val="000F25BC"/>
    <w:rsid w:val="000F2D17"/>
    <w:rsid w:val="000F3928"/>
    <w:rsid w:val="000F4AEA"/>
    <w:rsid w:val="000F5CF9"/>
    <w:rsid w:val="000F633F"/>
    <w:rsid w:val="000F67E9"/>
    <w:rsid w:val="00101666"/>
    <w:rsid w:val="0010344E"/>
    <w:rsid w:val="0010369F"/>
    <w:rsid w:val="001043E5"/>
    <w:rsid w:val="0010440D"/>
    <w:rsid w:val="00104744"/>
    <w:rsid w:val="00104926"/>
    <w:rsid w:val="00111707"/>
    <w:rsid w:val="0011240A"/>
    <w:rsid w:val="00113B1E"/>
    <w:rsid w:val="00116759"/>
    <w:rsid w:val="0011711C"/>
    <w:rsid w:val="0012059C"/>
    <w:rsid w:val="00124E4F"/>
    <w:rsid w:val="00125D91"/>
    <w:rsid w:val="001260B7"/>
    <w:rsid w:val="001265CB"/>
    <w:rsid w:val="001279E3"/>
    <w:rsid w:val="0013103A"/>
    <w:rsid w:val="001314DB"/>
    <w:rsid w:val="001321C6"/>
    <w:rsid w:val="001325C4"/>
    <w:rsid w:val="00133010"/>
    <w:rsid w:val="00133213"/>
    <w:rsid w:val="001338EE"/>
    <w:rsid w:val="00133AAE"/>
    <w:rsid w:val="00133B26"/>
    <w:rsid w:val="00135323"/>
    <w:rsid w:val="001356C4"/>
    <w:rsid w:val="00136A90"/>
    <w:rsid w:val="001370ED"/>
    <w:rsid w:val="00141114"/>
    <w:rsid w:val="00142969"/>
    <w:rsid w:val="001434A8"/>
    <w:rsid w:val="00143D76"/>
    <w:rsid w:val="001446C2"/>
    <w:rsid w:val="001457E7"/>
    <w:rsid w:val="00145D9D"/>
    <w:rsid w:val="00146388"/>
    <w:rsid w:val="0014789B"/>
    <w:rsid w:val="001529E5"/>
    <w:rsid w:val="00153C7E"/>
    <w:rsid w:val="001551DE"/>
    <w:rsid w:val="00156B25"/>
    <w:rsid w:val="00156E1A"/>
    <w:rsid w:val="0015768B"/>
    <w:rsid w:val="00157894"/>
    <w:rsid w:val="00157B55"/>
    <w:rsid w:val="00160A7C"/>
    <w:rsid w:val="00160AF1"/>
    <w:rsid w:val="00161BD6"/>
    <w:rsid w:val="00163382"/>
    <w:rsid w:val="0016405F"/>
    <w:rsid w:val="001642FA"/>
    <w:rsid w:val="001649EB"/>
    <w:rsid w:val="00164BAF"/>
    <w:rsid w:val="00164FA8"/>
    <w:rsid w:val="00164FE9"/>
    <w:rsid w:val="00165065"/>
    <w:rsid w:val="00165434"/>
    <w:rsid w:val="0016580B"/>
    <w:rsid w:val="00165F49"/>
    <w:rsid w:val="00166B88"/>
    <w:rsid w:val="00166E48"/>
    <w:rsid w:val="0016766F"/>
    <w:rsid w:val="0016770A"/>
    <w:rsid w:val="00167A85"/>
    <w:rsid w:val="00167FA0"/>
    <w:rsid w:val="00170033"/>
    <w:rsid w:val="00170804"/>
    <w:rsid w:val="001708E9"/>
    <w:rsid w:val="0017163C"/>
    <w:rsid w:val="0017340B"/>
    <w:rsid w:val="00173677"/>
    <w:rsid w:val="00173FB1"/>
    <w:rsid w:val="00174677"/>
    <w:rsid w:val="00174C68"/>
    <w:rsid w:val="00175D2A"/>
    <w:rsid w:val="00176DCA"/>
    <w:rsid w:val="00176DFD"/>
    <w:rsid w:val="00177E07"/>
    <w:rsid w:val="00183192"/>
    <w:rsid w:val="001832BF"/>
    <w:rsid w:val="0018331B"/>
    <w:rsid w:val="00183B98"/>
    <w:rsid w:val="00183E35"/>
    <w:rsid w:val="001846C1"/>
    <w:rsid w:val="00184AB6"/>
    <w:rsid w:val="001852C9"/>
    <w:rsid w:val="001872AB"/>
    <w:rsid w:val="00190087"/>
    <w:rsid w:val="001913C4"/>
    <w:rsid w:val="00191FFE"/>
    <w:rsid w:val="0019348F"/>
    <w:rsid w:val="001938DE"/>
    <w:rsid w:val="00193A07"/>
    <w:rsid w:val="001945C9"/>
    <w:rsid w:val="00194C95"/>
    <w:rsid w:val="00195C34"/>
    <w:rsid w:val="00196EF5"/>
    <w:rsid w:val="001A1A53"/>
    <w:rsid w:val="001A234A"/>
    <w:rsid w:val="001A4CF3"/>
    <w:rsid w:val="001A5A04"/>
    <w:rsid w:val="001A6D92"/>
    <w:rsid w:val="001B06E8"/>
    <w:rsid w:val="001B0913"/>
    <w:rsid w:val="001B3C7B"/>
    <w:rsid w:val="001B460E"/>
    <w:rsid w:val="001B71D0"/>
    <w:rsid w:val="001B71EE"/>
    <w:rsid w:val="001C04A8"/>
    <w:rsid w:val="001C25A8"/>
    <w:rsid w:val="001C2C03"/>
    <w:rsid w:val="001C2E23"/>
    <w:rsid w:val="001C42F7"/>
    <w:rsid w:val="001C42F9"/>
    <w:rsid w:val="001C49E5"/>
    <w:rsid w:val="001C57F3"/>
    <w:rsid w:val="001C680C"/>
    <w:rsid w:val="001C7FEA"/>
    <w:rsid w:val="001D0499"/>
    <w:rsid w:val="001D0BBE"/>
    <w:rsid w:val="001D0ED4"/>
    <w:rsid w:val="001D14DF"/>
    <w:rsid w:val="001D212F"/>
    <w:rsid w:val="001D29D7"/>
    <w:rsid w:val="001D2DE7"/>
    <w:rsid w:val="001D411C"/>
    <w:rsid w:val="001D5D3C"/>
    <w:rsid w:val="001D6A12"/>
    <w:rsid w:val="001D70B5"/>
    <w:rsid w:val="001E17DA"/>
    <w:rsid w:val="001E1B6A"/>
    <w:rsid w:val="001E2484"/>
    <w:rsid w:val="001E2EFC"/>
    <w:rsid w:val="001E340E"/>
    <w:rsid w:val="001E3CC4"/>
    <w:rsid w:val="001E4882"/>
    <w:rsid w:val="001E73AB"/>
    <w:rsid w:val="001F092D"/>
    <w:rsid w:val="001F143A"/>
    <w:rsid w:val="001F148B"/>
    <w:rsid w:val="001F1605"/>
    <w:rsid w:val="001F204F"/>
    <w:rsid w:val="001F2508"/>
    <w:rsid w:val="001F2C32"/>
    <w:rsid w:val="001F4816"/>
    <w:rsid w:val="001F4EE9"/>
    <w:rsid w:val="001F516A"/>
    <w:rsid w:val="001F69B4"/>
    <w:rsid w:val="001F6B49"/>
    <w:rsid w:val="001F77C7"/>
    <w:rsid w:val="00200183"/>
    <w:rsid w:val="00200333"/>
    <w:rsid w:val="0020107D"/>
    <w:rsid w:val="00202AA4"/>
    <w:rsid w:val="002031F7"/>
    <w:rsid w:val="002040E6"/>
    <w:rsid w:val="0020527B"/>
    <w:rsid w:val="00205F2C"/>
    <w:rsid w:val="0020677F"/>
    <w:rsid w:val="00206A76"/>
    <w:rsid w:val="00207386"/>
    <w:rsid w:val="00210B15"/>
    <w:rsid w:val="002142EA"/>
    <w:rsid w:val="002142F0"/>
    <w:rsid w:val="002158F9"/>
    <w:rsid w:val="00215C9C"/>
    <w:rsid w:val="002171E2"/>
    <w:rsid w:val="002204BB"/>
    <w:rsid w:val="00221004"/>
    <w:rsid w:val="00221082"/>
    <w:rsid w:val="00221B79"/>
    <w:rsid w:val="00221C6B"/>
    <w:rsid w:val="00225069"/>
    <w:rsid w:val="002253A1"/>
    <w:rsid w:val="00225CF8"/>
    <w:rsid w:val="0022794E"/>
    <w:rsid w:val="00233D64"/>
    <w:rsid w:val="0023482A"/>
    <w:rsid w:val="002359CB"/>
    <w:rsid w:val="00236294"/>
    <w:rsid w:val="00240F49"/>
    <w:rsid w:val="00241848"/>
    <w:rsid w:val="00243540"/>
    <w:rsid w:val="0024497B"/>
    <w:rsid w:val="0024515B"/>
    <w:rsid w:val="00246021"/>
    <w:rsid w:val="0024666E"/>
    <w:rsid w:val="00247F52"/>
    <w:rsid w:val="00250B25"/>
    <w:rsid w:val="00250BBE"/>
    <w:rsid w:val="002515C2"/>
    <w:rsid w:val="0025194F"/>
    <w:rsid w:val="002535F3"/>
    <w:rsid w:val="0025381D"/>
    <w:rsid w:val="00253CF5"/>
    <w:rsid w:val="00253DBC"/>
    <w:rsid w:val="00254781"/>
    <w:rsid w:val="00255AD0"/>
    <w:rsid w:val="00257D25"/>
    <w:rsid w:val="0026148A"/>
    <w:rsid w:val="00262696"/>
    <w:rsid w:val="00263D25"/>
    <w:rsid w:val="002643C3"/>
    <w:rsid w:val="00264686"/>
    <w:rsid w:val="00264A0C"/>
    <w:rsid w:val="002653C6"/>
    <w:rsid w:val="00266EEB"/>
    <w:rsid w:val="00267EF4"/>
    <w:rsid w:val="00270CB8"/>
    <w:rsid w:val="00272B08"/>
    <w:rsid w:val="00272B92"/>
    <w:rsid w:val="00274F7D"/>
    <w:rsid w:val="002754B9"/>
    <w:rsid w:val="002771AC"/>
    <w:rsid w:val="00281BB8"/>
    <w:rsid w:val="00281E9E"/>
    <w:rsid w:val="00282405"/>
    <w:rsid w:val="00282FFA"/>
    <w:rsid w:val="00283538"/>
    <w:rsid w:val="00283C61"/>
    <w:rsid w:val="00284492"/>
    <w:rsid w:val="00285170"/>
    <w:rsid w:val="00285361"/>
    <w:rsid w:val="00287358"/>
    <w:rsid w:val="00287DA0"/>
    <w:rsid w:val="002904EC"/>
    <w:rsid w:val="00292D60"/>
    <w:rsid w:val="00293B30"/>
    <w:rsid w:val="00294B6B"/>
    <w:rsid w:val="00294D34"/>
    <w:rsid w:val="00294E3B"/>
    <w:rsid w:val="00296193"/>
    <w:rsid w:val="00296851"/>
    <w:rsid w:val="002968B5"/>
    <w:rsid w:val="00296C66"/>
    <w:rsid w:val="00296EBE"/>
    <w:rsid w:val="002974BD"/>
    <w:rsid w:val="002974E3"/>
    <w:rsid w:val="00297E6B"/>
    <w:rsid w:val="002A01EB"/>
    <w:rsid w:val="002A084B"/>
    <w:rsid w:val="002A1260"/>
    <w:rsid w:val="002A1589"/>
    <w:rsid w:val="002A1608"/>
    <w:rsid w:val="002A23F2"/>
    <w:rsid w:val="002A25DC"/>
    <w:rsid w:val="002A296D"/>
    <w:rsid w:val="002A3A14"/>
    <w:rsid w:val="002A3AAB"/>
    <w:rsid w:val="002A4606"/>
    <w:rsid w:val="002A4CEA"/>
    <w:rsid w:val="002A5977"/>
    <w:rsid w:val="002A5A13"/>
    <w:rsid w:val="002A60A0"/>
    <w:rsid w:val="002A757F"/>
    <w:rsid w:val="002A7DA1"/>
    <w:rsid w:val="002A7F44"/>
    <w:rsid w:val="002B0C40"/>
    <w:rsid w:val="002B1966"/>
    <w:rsid w:val="002B251C"/>
    <w:rsid w:val="002B4508"/>
    <w:rsid w:val="002B5779"/>
    <w:rsid w:val="002B7332"/>
    <w:rsid w:val="002B7F51"/>
    <w:rsid w:val="002C09E7"/>
    <w:rsid w:val="002C0B26"/>
    <w:rsid w:val="002C10CE"/>
    <w:rsid w:val="002C1E06"/>
    <w:rsid w:val="002C1E1C"/>
    <w:rsid w:val="002C1E3E"/>
    <w:rsid w:val="002C3F07"/>
    <w:rsid w:val="002C43AD"/>
    <w:rsid w:val="002C481C"/>
    <w:rsid w:val="002C5278"/>
    <w:rsid w:val="002C5CBF"/>
    <w:rsid w:val="002C7EBB"/>
    <w:rsid w:val="002D06C1"/>
    <w:rsid w:val="002D3420"/>
    <w:rsid w:val="002D3DD4"/>
    <w:rsid w:val="002D42B5"/>
    <w:rsid w:val="002D4671"/>
    <w:rsid w:val="002D4F1A"/>
    <w:rsid w:val="002D6EC6"/>
    <w:rsid w:val="002D70C4"/>
    <w:rsid w:val="002D79AC"/>
    <w:rsid w:val="002E039D"/>
    <w:rsid w:val="002E0651"/>
    <w:rsid w:val="002E1E69"/>
    <w:rsid w:val="002E3E53"/>
    <w:rsid w:val="002E4D5A"/>
    <w:rsid w:val="002E6326"/>
    <w:rsid w:val="002E6E6D"/>
    <w:rsid w:val="002F2191"/>
    <w:rsid w:val="002F2234"/>
    <w:rsid w:val="002F271F"/>
    <w:rsid w:val="002F2905"/>
    <w:rsid w:val="002F296B"/>
    <w:rsid w:val="002F30E0"/>
    <w:rsid w:val="002F3221"/>
    <w:rsid w:val="002F331D"/>
    <w:rsid w:val="002F35E4"/>
    <w:rsid w:val="002F369D"/>
    <w:rsid w:val="002F3730"/>
    <w:rsid w:val="002F38E1"/>
    <w:rsid w:val="002F7AF6"/>
    <w:rsid w:val="00300AF0"/>
    <w:rsid w:val="00300E63"/>
    <w:rsid w:val="0030131F"/>
    <w:rsid w:val="003022AC"/>
    <w:rsid w:val="00302F5F"/>
    <w:rsid w:val="00303B52"/>
    <w:rsid w:val="00304173"/>
    <w:rsid w:val="0030441D"/>
    <w:rsid w:val="00306063"/>
    <w:rsid w:val="0030686E"/>
    <w:rsid w:val="0031309A"/>
    <w:rsid w:val="00313B85"/>
    <w:rsid w:val="00313D0E"/>
    <w:rsid w:val="00313E67"/>
    <w:rsid w:val="00313FB4"/>
    <w:rsid w:val="00315B8E"/>
    <w:rsid w:val="00315EF4"/>
    <w:rsid w:val="00317988"/>
    <w:rsid w:val="00317B64"/>
    <w:rsid w:val="003221B4"/>
    <w:rsid w:val="0032258D"/>
    <w:rsid w:val="00322E62"/>
    <w:rsid w:val="00323B86"/>
    <w:rsid w:val="00324936"/>
    <w:rsid w:val="00324D13"/>
    <w:rsid w:val="00324D2A"/>
    <w:rsid w:val="00324EDD"/>
    <w:rsid w:val="00326C34"/>
    <w:rsid w:val="003275B3"/>
    <w:rsid w:val="00327E2E"/>
    <w:rsid w:val="0033143D"/>
    <w:rsid w:val="003314FC"/>
    <w:rsid w:val="003331E4"/>
    <w:rsid w:val="0033537C"/>
    <w:rsid w:val="003362D6"/>
    <w:rsid w:val="003365E3"/>
    <w:rsid w:val="00336C64"/>
    <w:rsid w:val="00336D05"/>
    <w:rsid w:val="00337162"/>
    <w:rsid w:val="003400ED"/>
    <w:rsid w:val="00340440"/>
    <w:rsid w:val="00340F29"/>
    <w:rsid w:val="0034194F"/>
    <w:rsid w:val="00341C0C"/>
    <w:rsid w:val="003444ED"/>
    <w:rsid w:val="0034452C"/>
    <w:rsid w:val="00344605"/>
    <w:rsid w:val="00345DB0"/>
    <w:rsid w:val="003470D1"/>
    <w:rsid w:val="003474AA"/>
    <w:rsid w:val="00350D1D"/>
    <w:rsid w:val="00352C83"/>
    <w:rsid w:val="003532C7"/>
    <w:rsid w:val="00353D66"/>
    <w:rsid w:val="003615D2"/>
    <w:rsid w:val="00362C34"/>
    <w:rsid w:val="0036429C"/>
    <w:rsid w:val="00364A53"/>
    <w:rsid w:val="003654CB"/>
    <w:rsid w:val="00365AA9"/>
    <w:rsid w:val="00365F86"/>
    <w:rsid w:val="00365F87"/>
    <w:rsid w:val="00366E89"/>
    <w:rsid w:val="003705F4"/>
    <w:rsid w:val="00370D58"/>
    <w:rsid w:val="00371316"/>
    <w:rsid w:val="0037320F"/>
    <w:rsid w:val="00374DE6"/>
    <w:rsid w:val="00374F3B"/>
    <w:rsid w:val="00376713"/>
    <w:rsid w:val="00377698"/>
    <w:rsid w:val="00381815"/>
    <w:rsid w:val="003819AF"/>
    <w:rsid w:val="003820E9"/>
    <w:rsid w:val="003828B6"/>
    <w:rsid w:val="00382DE7"/>
    <w:rsid w:val="00384ABC"/>
    <w:rsid w:val="00384FFC"/>
    <w:rsid w:val="00386432"/>
    <w:rsid w:val="003872FC"/>
    <w:rsid w:val="00387399"/>
    <w:rsid w:val="00387ADC"/>
    <w:rsid w:val="00390020"/>
    <w:rsid w:val="003903D6"/>
    <w:rsid w:val="00390EE6"/>
    <w:rsid w:val="0039118F"/>
    <w:rsid w:val="00392AD7"/>
    <w:rsid w:val="00392BFF"/>
    <w:rsid w:val="003938D9"/>
    <w:rsid w:val="00394376"/>
    <w:rsid w:val="003943FF"/>
    <w:rsid w:val="00395700"/>
    <w:rsid w:val="003974EB"/>
    <w:rsid w:val="003975E5"/>
    <w:rsid w:val="00397BB2"/>
    <w:rsid w:val="00397CC5"/>
    <w:rsid w:val="003A0047"/>
    <w:rsid w:val="003A01FF"/>
    <w:rsid w:val="003A0854"/>
    <w:rsid w:val="003A1582"/>
    <w:rsid w:val="003A1EE8"/>
    <w:rsid w:val="003A2099"/>
    <w:rsid w:val="003A2316"/>
    <w:rsid w:val="003A4077"/>
    <w:rsid w:val="003A5AB2"/>
    <w:rsid w:val="003A5D35"/>
    <w:rsid w:val="003B09AD"/>
    <w:rsid w:val="003B1F18"/>
    <w:rsid w:val="003B3023"/>
    <w:rsid w:val="003B5BF0"/>
    <w:rsid w:val="003B60BF"/>
    <w:rsid w:val="003B6BE3"/>
    <w:rsid w:val="003B6C33"/>
    <w:rsid w:val="003B6EDA"/>
    <w:rsid w:val="003B715A"/>
    <w:rsid w:val="003B7E47"/>
    <w:rsid w:val="003C010C"/>
    <w:rsid w:val="003C0A6C"/>
    <w:rsid w:val="003C14F8"/>
    <w:rsid w:val="003C5A43"/>
    <w:rsid w:val="003C7D9A"/>
    <w:rsid w:val="003D0519"/>
    <w:rsid w:val="003D0FF6"/>
    <w:rsid w:val="003D1A2A"/>
    <w:rsid w:val="003D262C"/>
    <w:rsid w:val="003D38E0"/>
    <w:rsid w:val="003D4074"/>
    <w:rsid w:val="003D6D61"/>
    <w:rsid w:val="003D79C6"/>
    <w:rsid w:val="003D7F0A"/>
    <w:rsid w:val="003E091D"/>
    <w:rsid w:val="003E1AB0"/>
    <w:rsid w:val="003E1C53"/>
    <w:rsid w:val="003E248B"/>
    <w:rsid w:val="003E2A69"/>
    <w:rsid w:val="003E2D49"/>
    <w:rsid w:val="003E2FD4"/>
    <w:rsid w:val="003E3B82"/>
    <w:rsid w:val="003E4022"/>
    <w:rsid w:val="003E49F6"/>
    <w:rsid w:val="003E4C36"/>
    <w:rsid w:val="003E4F2A"/>
    <w:rsid w:val="003E621D"/>
    <w:rsid w:val="003E660F"/>
    <w:rsid w:val="003E7E32"/>
    <w:rsid w:val="003F0057"/>
    <w:rsid w:val="003F04D9"/>
    <w:rsid w:val="003F0841"/>
    <w:rsid w:val="003F23D3"/>
    <w:rsid w:val="003F2BDD"/>
    <w:rsid w:val="003F3F08"/>
    <w:rsid w:val="003F460B"/>
    <w:rsid w:val="003F49F1"/>
    <w:rsid w:val="003F4FD2"/>
    <w:rsid w:val="003F6272"/>
    <w:rsid w:val="003F6387"/>
    <w:rsid w:val="003F6F39"/>
    <w:rsid w:val="003F7FA0"/>
    <w:rsid w:val="00400E72"/>
    <w:rsid w:val="00401400"/>
    <w:rsid w:val="00404869"/>
    <w:rsid w:val="00405841"/>
    <w:rsid w:val="00405884"/>
    <w:rsid w:val="00406397"/>
    <w:rsid w:val="00407D39"/>
    <w:rsid w:val="00412841"/>
    <w:rsid w:val="00412F9F"/>
    <w:rsid w:val="0041477A"/>
    <w:rsid w:val="004167A3"/>
    <w:rsid w:val="0042019D"/>
    <w:rsid w:val="0042128E"/>
    <w:rsid w:val="00423B46"/>
    <w:rsid w:val="004259C3"/>
    <w:rsid w:val="0042622C"/>
    <w:rsid w:val="004264C2"/>
    <w:rsid w:val="00427C27"/>
    <w:rsid w:val="00432DAA"/>
    <w:rsid w:val="004330AA"/>
    <w:rsid w:val="00434305"/>
    <w:rsid w:val="0043521A"/>
    <w:rsid w:val="00435DF7"/>
    <w:rsid w:val="004361FA"/>
    <w:rsid w:val="0044083F"/>
    <w:rsid w:val="004418C5"/>
    <w:rsid w:val="00441A91"/>
    <w:rsid w:val="00441AE7"/>
    <w:rsid w:val="00442F7C"/>
    <w:rsid w:val="00445574"/>
    <w:rsid w:val="004467FB"/>
    <w:rsid w:val="00446A43"/>
    <w:rsid w:val="00447060"/>
    <w:rsid w:val="00450E76"/>
    <w:rsid w:val="00450E8C"/>
    <w:rsid w:val="0045242F"/>
    <w:rsid w:val="00452D6B"/>
    <w:rsid w:val="00454484"/>
    <w:rsid w:val="004545F1"/>
    <w:rsid w:val="0045517B"/>
    <w:rsid w:val="00455D64"/>
    <w:rsid w:val="004565E5"/>
    <w:rsid w:val="00457854"/>
    <w:rsid w:val="00463B77"/>
    <w:rsid w:val="00463C7B"/>
    <w:rsid w:val="004644A6"/>
    <w:rsid w:val="004659BD"/>
    <w:rsid w:val="004667BA"/>
    <w:rsid w:val="004667CA"/>
    <w:rsid w:val="00470775"/>
    <w:rsid w:val="0047112C"/>
    <w:rsid w:val="00471653"/>
    <w:rsid w:val="004718E4"/>
    <w:rsid w:val="00471BE3"/>
    <w:rsid w:val="004739E0"/>
    <w:rsid w:val="00473C3C"/>
    <w:rsid w:val="00473CDB"/>
    <w:rsid w:val="004746B1"/>
    <w:rsid w:val="0047583F"/>
    <w:rsid w:val="00475DE8"/>
    <w:rsid w:val="00475E7D"/>
    <w:rsid w:val="00476729"/>
    <w:rsid w:val="00476914"/>
    <w:rsid w:val="00476ECC"/>
    <w:rsid w:val="0048148C"/>
    <w:rsid w:val="00481712"/>
    <w:rsid w:val="00481C44"/>
    <w:rsid w:val="004828D0"/>
    <w:rsid w:val="00483123"/>
    <w:rsid w:val="004839EE"/>
    <w:rsid w:val="00484936"/>
    <w:rsid w:val="00484F65"/>
    <w:rsid w:val="00485C89"/>
    <w:rsid w:val="00486BE3"/>
    <w:rsid w:val="004900CE"/>
    <w:rsid w:val="004905E4"/>
    <w:rsid w:val="00490A89"/>
    <w:rsid w:val="00490AB4"/>
    <w:rsid w:val="0049170D"/>
    <w:rsid w:val="00492F02"/>
    <w:rsid w:val="00492F7D"/>
    <w:rsid w:val="004939AE"/>
    <w:rsid w:val="00496440"/>
    <w:rsid w:val="004974EA"/>
    <w:rsid w:val="004A12DF"/>
    <w:rsid w:val="004A17E6"/>
    <w:rsid w:val="004A1BA8"/>
    <w:rsid w:val="004A2BD0"/>
    <w:rsid w:val="004A2CC5"/>
    <w:rsid w:val="004A4114"/>
    <w:rsid w:val="004A4B57"/>
    <w:rsid w:val="004A4EA1"/>
    <w:rsid w:val="004A63FA"/>
    <w:rsid w:val="004A692B"/>
    <w:rsid w:val="004A6EE2"/>
    <w:rsid w:val="004B0272"/>
    <w:rsid w:val="004B2701"/>
    <w:rsid w:val="004B2E1B"/>
    <w:rsid w:val="004B3AA8"/>
    <w:rsid w:val="004B3E93"/>
    <w:rsid w:val="004B5C45"/>
    <w:rsid w:val="004B6475"/>
    <w:rsid w:val="004B653F"/>
    <w:rsid w:val="004B7107"/>
    <w:rsid w:val="004B735A"/>
    <w:rsid w:val="004C1FBC"/>
    <w:rsid w:val="004C294B"/>
    <w:rsid w:val="004C3F1D"/>
    <w:rsid w:val="004C458D"/>
    <w:rsid w:val="004C7556"/>
    <w:rsid w:val="004C7992"/>
    <w:rsid w:val="004C7E8B"/>
    <w:rsid w:val="004C7E9D"/>
    <w:rsid w:val="004C7F67"/>
    <w:rsid w:val="004D02E7"/>
    <w:rsid w:val="004D076D"/>
    <w:rsid w:val="004D0EF1"/>
    <w:rsid w:val="004D2253"/>
    <w:rsid w:val="004D2967"/>
    <w:rsid w:val="004D334C"/>
    <w:rsid w:val="004D4406"/>
    <w:rsid w:val="004D6D4F"/>
    <w:rsid w:val="004D6DEA"/>
    <w:rsid w:val="004D7C42"/>
    <w:rsid w:val="004D7D11"/>
    <w:rsid w:val="004E0465"/>
    <w:rsid w:val="004E127B"/>
    <w:rsid w:val="004E18BC"/>
    <w:rsid w:val="004E1C0A"/>
    <w:rsid w:val="004E1D6C"/>
    <w:rsid w:val="004E2B06"/>
    <w:rsid w:val="004E3053"/>
    <w:rsid w:val="004E30C5"/>
    <w:rsid w:val="004E4615"/>
    <w:rsid w:val="004E4AA5"/>
    <w:rsid w:val="004E4AEE"/>
    <w:rsid w:val="004E4BE6"/>
    <w:rsid w:val="004E4F7B"/>
    <w:rsid w:val="004E59DB"/>
    <w:rsid w:val="004E59E3"/>
    <w:rsid w:val="004E633E"/>
    <w:rsid w:val="004E67C0"/>
    <w:rsid w:val="004E68FC"/>
    <w:rsid w:val="004F01BD"/>
    <w:rsid w:val="004F156C"/>
    <w:rsid w:val="004F21B9"/>
    <w:rsid w:val="004F2E1E"/>
    <w:rsid w:val="004F391A"/>
    <w:rsid w:val="004F3CFB"/>
    <w:rsid w:val="004F40C4"/>
    <w:rsid w:val="004F4489"/>
    <w:rsid w:val="004F6456"/>
    <w:rsid w:val="004F696E"/>
    <w:rsid w:val="004F6C71"/>
    <w:rsid w:val="004F79FF"/>
    <w:rsid w:val="00501067"/>
    <w:rsid w:val="00501139"/>
    <w:rsid w:val="0050147F"/>
    <w:rsid w:val="0050363E"/>
    <w:rsid w:val="005039BC"/>
    <w:rsid w:val="0050409C"/>
    <w:rsid w:val="005043BB"/>
    <w:rsid w:val="00504A3D"/>
    <w:rsid w:val="00505396"/>
    <w:rsid w:val="00505767"/>
    <w:rsid w:val="00506C88"/>
    <w:rsid w:val="005073F0"/>
    <w:rsid w:val="005078E4"/>
    <w:rsid w:val="00510A7B"/>
    <w:rsid w:val="00512E87"/>
    <w:rsid w:val="00512F6E"/>
    <w:rsid w:val="00513038"/>
    <w:rsid w:val="00514174"/>
    <w:rsid w:val="005151AE"/>
    <w:rsid w:val="00516088"/>
    <w:rsid w:val="005165F8"/>
    <w:rsid w:val="00516B0B"/>
    <w:rsid w:val="0051784A"/>
    <w:rsid w:val="0052002D"/>
    <w:rsid w:val="005220EC"/>
    <w:rsid w:val="00523F95"/>
    <w:rsid w:val="00524D65"/>
    <w:rsid w:val="0052515B"/>
    <w:rsid w:val="00525B16"/>
    <w:rsid w:val="00525E92"/>
    <w:rsid w:val="00526C52"/>
    <w:rsid w:val="00530199"/>
    <w:rsid w:val="005311A7"/>
    <w:rsid w:val="0053142C"/>
    <w:rsid w:val="00532811"/>
    <w:rsid w:val="00532B8B"/>
    <w:rsid w:val="00533D04"/>
    <w:rsid w:val="00534804"/>
    <w:rsid w:val="00534B9C"/>
    <w:rsid w:val="00534BDF"/>
    <w:rsid w:val="00534C06"/>
    <w:rsid w:val="005354EA"/>
    <w:rsid w:val="00535747"/>
    <w:rsid w:val="0053585F"/>
    <w:rsid w:val="00535EC4"/>
    <w:rsid w:val="00535ED9"/>
    <w:rsid w:val="005367E3"/>
    <w:rsid w:val="0053686B"/>
    <w:rsid w:val="0053692B"/>
    <w:rsid w:val="00541853"/>
    <w:rsid w:val="005425CF"/>
    <w:rsid w:val="00542DF9"/>
    <w:rsid w:val="00543BDA"/>
    <w:rsid w:val="005441CC"/>
    <w:rsid w:val="005479DA"/>
    <w:rsid w:val="00547BCC"/>
    <w:rsid w:val="0055002E"/>
    <w:rsid w:val="0055013B"/>
    <w:rsid w:val="0055074D"/>
    <w:rsid w:val="005508A9"/>
    <w:rsid w:val="00550C8A"/>
    <w:rsid w:val="00551180"/>
    <w:rsid w:val="00551F6F"/>
    <w:rsid w:val="0055288A"/>
    <w:rsid w:val="00555044"/>
    <w:rsid w:val="005552A6"/>
    <w:rsid w:val="00555702"/>
    <w:rsid w:val="00556CD1"/>
    <w:rsid w:val="0055744F"/>
    <w:rsid w:val="00557687"/>
    <w:rsid w:val="00557EDC"/>
    <w:rsid w:val="00561475"/>
    <w:rsid w:val="0056289C"/>
    <w:rsid w:val="005633F4"/>
    <w:rsid w:val="00563A69"/>
    <w:rsid w:val="005641DD"/>
    <w:rsid w:val="0056487B"/>
    <w:rsid w:val="00564E2E"/>
    <w:rsid w:val="00564FB9"/>
    <w:rsid w:val="00567D85"/>
    <w:rsid w:val="00571367"/>
    <w:rsid w:val="005735D8"/>
    <w:rsid w:val="00573D9E"/>
    <w:rsid w:val="00574421"/>
    <w:rsid w:val="005801E3"/>
    <w:rsid w:val="00580A0B"/>
    <w:rsid w:val="00581022"/>
    <w:rsid w:val="00581802"/>
    <w:rsid w:val="00582A62"/>
    <w:rsid w:val="005836A8"/>
    <w:rsid w:val="00583CCE"/>
    <w:rsid w:val="0058409C"/>
    <w:rsid w:val="00584262"/>
    <w:rsid w:val="00586109"/>
    <w:rsid w:val="00586630"/>
    <w:rsid w:val="00587ADD"/>
    <w:rsid w:val="00590D0C"/>
    <w:rsid w:val="00591E27"/>
    <w:rsid w:val="00595D09"/>
    <w:rsid w:val="00596160"/>
    <w:rsid w:val="005966E2"/>
    <w:rsid w:val="00597007"/>
    <w:rsid w:val="005A0966"/>
    <w:rsid w:val="005A11B7"/>
    <w:rsid w:val="005A260B"/>
    <w:rsid w:val="005A46DE"/>
    <w:rsid w:val="005A4A1B"/>
    <w:rsid w:val="005A6559"/>
    <w:rsid w:val="005A70CC"/>
    <w:rsid w:val="005A7830"/>
    <w:rsid w:val="005A7FCE"/>
    <w:rsid w:val="005B09E0"/>
    <w:rsid w:val="005B0F3F"/>
    <w:rsid w:val="005B4903"/>
    <w:rsid w:val="005B51CE"/>
    <w:rsid w:val="005B5885"/>
    <w:rsid w:val="005B5CD7"/>
    <w:rsid w:val="005B6CF6"/>
    <w:rsid w:val="005B7422"/>
    <w:rsid w:val="005B7E6E"/>
    <w:rsid w:val="005C29B8"/>
    <w:rsid w:val="005C50AD"/>
    <w:rsid w:val="005C5F21"/>
    <w:rsid w:val="005C7156"/>
    <w:rsid w:val="005D0A51"/>
    <w:rsid w:val="005D0C75"/>
    <w:rsid w:val="005D1972"/>
    <w:rsid w:val="005D32E6"/>
    <w:rsid w:val="005D4171"/>
    <w:rsid w:val="005D637D"/>
    <w:rsid w:val="005D6A95"/>
    <w:rsid w:val="005D6B2C"/>
    <w:rsid w:val="005D6D9C"/>
    <w:rsid w:val="005E2335"/>
    <w:rsid w:val="005E34CA"/>
    <w:rsid w:val="005E3C18"/>
    <w:rsid w:val="005E54F3"/>
    <w:rsid w:val="005E5CDD"/>
    <w:rsid w:val="005E6812"/>
    <w:rsid w:val="005E7881"/>
    <w:rsid w:val="005E78E0"/>
    <w:rsid w:val="005E7D69"/>
    <w:rsid w:val="005F0D9C"/>
    <w:rsid w:val="005F1F21"/>
    <w:rsid w:val="005F284E"/>
    <w:rsid w:val="005F28A8"/>
    <w:rsid w:val="005F4712"/>
    <w:rsid w:val="005F4E7E"/>
    <w:rsid w:val="005F6255"/>
    <w:rsid w:val="005F7257"/>
    <w:rsid w:val="006015CE"/>
    <w:rsid w:val="006027E3"/>
    <w:rsid w:val="0060282C"/>
    <w:rsid w:val="00603269"/>
    <w:rsid w:val="00604784"/>
    <w:rsid w:val="00606419"/>
    <w:rsid w:val="00607D29"/>
    <w:rsid w:val="00610489"/>
    <w:rsid w:val="00612545"/>
    <w:rsid w:val="00612952"/>
    <w:rsid w:val="00612986"/>
    <w:rsid w:val="00614CC1"/>
    <w:rsid w:val="00614E00"/>
    <w:rsid w:val="0061519C"/>
    <w:rsid w:val="00615212"/>
    <w:rsid w:val="00615A9D"/>
    <w:rsid w:val="00616325"/>
    <w:rsid w:val="00617387"/>
    <w:rsid w:val="006205D6"/>
    <w:rsid w:val="00622AE0"/>
    <w:rsid w:val="00624092"/>
    <w:rsid w:val="006252D8"/>
    <w:rsid w:val="006253F6"/>
    <w:rsid w:val="006259AA"/>
    <w:rsid w:val="006259BC"/>
    <w:rsid w:val="0062636B"/>
    <w:rsid w:val="00626CE4"/>
    <w:rsid w:val="00630248"/>
    <w:rsid w:val="00630E53"/>
    <w:rsid w:val="00631DFE"/>
    <w:rsid w:val="00632182"/>
    <w:rsid w:val="00632AE0"/>
    <w:rsid w:val="00633684"/>
    <w:rsid w:val="00633B2C"/>
    <w:rsid w:val="00633C17"/>
    <w:rsid w:val="00634A6F"/>
    <w:rsid w:val="00634D9E"/>
    <w:rsid w:val="006357AC"/>
    <w:rsid w:val="00636E3E"/>
    <w:rsid w:val="0063724D"/>
    <w:rsid w:val="006379F7"/>
    <w:rsid w:val="00637E4D"/>
    <w:rsid w:val="00640620"/>
    <w:rsid w:val="006406F9"/>
    <w:rsid w:val="00641A1F"/>
    <w:rsid w:val="006428B1"/>
    <w:rsid w:val="006433A7"/>
    <w:rsid w:val="00644DC9"/>
    <w:rsid w:val="00645904"/>
    <w:rsid w:val="00651ACB"/>
    <w:rsid w:val="00651C47"/>
    <w:rsid w:val="00652AB2"/>
    <w:rsid w:val="006533FA"/>
    <w:rsid w:val="00653FED"/>
    <w:rsid w:val="00654EC0"/>
    <w:rsid w:val="0065510F"/>
    <w:rsid w:val="0065525B"/>
    <w:rsid w:val="00655D4F"/>
    <w:rsid w:val="0065650A"/>
    <w:rsid w:val="00656D29"/>
    <w:rsid w:val="00657615"/>
    <w:rsid w:val="0066005C"/>
    <w:rsid w:val="00660C28"/>
    <w:rsid w:val="006619B2"/>
    <w:rsid w:val="00661C00"/>
    <w:rsid w:val="00661D71"/>
    <w:rsid w:val="00663028"/>
    <w:rsid w:val="00663400"/>
    <w:rsid w:val="00663A65"/>
    <w:rsid w:val="006640E5"/>
    <w:rsid w:val="006646F1"/>
    <w:rsid w:val="00664929"/>
    <w:rsid w:val="00664F62"/>
    <w:rsid w:val="006655E1"/>
    <w:rsid w:val="00665845"/>
    <w:rsid w:val="00666ABE"/>
    <w:rsid w:val="00667E5D"/>
    <w:rsid w:val="00667E90"/>
    <w:rsid w:val="00672060"/>
    <w:rsid w:val="00672BFD"/>
    <w:rsid w:val="006735C3"/>
    <w:rsid w:val="006755F2"/>
    <w:rsid w:val="00675726"/>
    <w:rsid w:val="006761C2"/>
    <w:rsid w:val="006770F4"/>
    <w:rsid w:val="00677A84"/>
    <w:rsid w:val="0068026D"/>
    <w:rsid w:val="00680720"/>
    <w:rsid w:val="00680A27"/>
    <w:rsid w:val="00681254"/>
    <w:rsid w:val="006816A4"/>
    <w:rsid w:val="006819B8"/>
    <w:rsid w:val="00683AB9"/>
    <w:rsid w:val="006840A6"/>
    <w:rsid w:val="006850CD"/>
    <w:rsid w:val="00685AAB"/>
    <w:rsid w:val="0068770E"/>
    <w:rsid w:val="00687C82"/>
    <w:rsid w:val="00690895"/>
    <w:rsid w:val="006922EC"/>
    <w:rsid w:val="00692B99"/>
    <w:rsid w:val="00693612"/>
    <w:rsid w:val="00695D22"/>
    <w:rsid w:val="006A07AA"/>
    <w:rsid w:val="006A25E5"/>
    <w:rsid w:val="006A2B46"/>
    <w:rsid w:val="006A336D"/>
    <w:rsid w:val="006A37B9"/>
    <w:rsid w:val="006A47F6"/>
    <w:rsid w:val="006A5628"/>
    <w:rsid w:val="006A63F1"/>
    <w:rsid w:val="006A72A7"/>
    <w:rsid w:val="006B2051"/>
    <w:rsid w:val="006B2672"/>
    <w:rsid w:val="006B3D71"/>
    <w:rsid w:val="006B54BF"/>
    <w:rsid w:val="006B5F44"/>
    <w:rsid w:val="006B5F90"/>
    <w:rsid w:val="006B62E4"/>
    <w:rsid w:val="006B6FE0"/>
    <w:rsid w:val="006B7BF3"/>
    <w:rsid w:val="006B7F7D"/>
    <w:rsid w:val="006C1BBA"/>
    <w:rsid w:val="006C1C16"/>
    <w:rsid w:val="006C2079"/>
    <w:rsid w:val="006C26A2"/>
    <w:rsid w:val="006C28D6"/>
    <w:rsid w:val="006C34F5"/>
    <w:rsid w:val="006C5A62"/>
    <w:rsid w:val="006C5D68"/>
    <w:rsid w:val="006C6008"/>
    <w:rsid w:val="006C6976"/>
    <w:rsid w:val="006C6DD0"/>
    <w:rsid w:val="006C7EE1"/>
    <w:rsid w:val="006D04EA"/>
    <w:rsid w:val="006D0AB7"/>
    <w:rsid w:val="006D16C4"/>
    <w:rsid w:val="006D2C19"/>
    <w:rsid w:val="006D3E96"/>
    <w:rsid w:val="006D4515"/>
    <w:rsid w:val="006D4BB1"/>
    <w:rsid w:val="006D58A4"/>
    <w:rsid w:val="006D5F1A"/>
    <w:rsid w:val="006D622E"/>
    <w:rsid w:val="006D6593"/>
    <w:rsid w:val="006D682B"/>
    <w:rsid w:val="006D6CEF"/>
    <w:rsid w:val="006D7503"/>
    <w:rsid w:val="006E23EA"/>
    <w:rsid w:val="006E3498"/>
    <w:rsid w:val="006E6FAE"/>
    <w:rsid w:val="006F03A8"/>
    <w:rsid w:val="006F13A0"/>
    <w:rsid w:val="006F2ACA"/>
    <w:rsid w:val="006F2ADC"/>
    <w:rsid w:val="006F2BFE"/>
    <w:rsid w:val="006F31E9"/>
    <w:rsid w:val="006F367D"/>
    <w:rsid w:val="006F3F72"/>
    <w:rsid w:val="006F420F"/>
    <w:rsid w:val="006F6284"/>
    <w:rsid w:val="006F684D"/>
    <w:rsid w:val="006F731D"/>
    <w:rsid w:val="006F744E"/>
    <w:rsid w:val="006F78D3"/>
    <w:rsid w:val="007002C5"/>
    <w:rsid w:val="007002E4"/>
    <w:rsid w:val="0070199A"/>
    <w:rsid w:val="00701B2B"/>
    <w:rsid w:val="00704387"/>
    <w:rsid w:val="00705F2B"/>
    <w:rsid w:val="00706005"/>
    <w:rsid w:val="00707669"/>
    <w:rsid w:val="007100F7"/>
    <w:rsid w:val="00711198"/>
    <w:rsid w:val="00711B93"/>
    <w:rsid w:val="00711CBA"/>
    <w:rsid w:val="00711D70"/>
    <w:rsid w:val="00711FB5"/>
    <w:rsid w:val="00712A01"/>
    <w:rsid w:val="00714F58"/>
    <w:rsid w:val="007167F4"/>
    <w:rsid w:val="00716B49"/>
    <w:rsid w:val="00716EF8"/>
    <w:rsid w:val="00717A75"/>
    <w:rsid w:val="00717DFB"/>
    <w:rsid w:val="00720862"/>
    <w:rsid w:val="00722FBF"/>
    <w:rsid w:val="00722FC2"/>
    <w:rsid w:val="00724879"/>
    <w:rsid w:val="00724E1B"/>
    <w:rsid w:val="00725772"/>
    <w:rsid w:val="00725949"/>
    <w:rsid w:val="00727919"/>
    <w:rsid w:val="00727DB1"/>
    <w:rsid w:val="00727FA2"/>
    <w:rsid w:val="00730CF8"/>
    <w:rsid w:val="0073142D"/>
    <w:rsid w:val="00731835"/>
    <w:rsid w:val="007322D9"/>
    <w:rsid w:val="00732BC0"/>
    <w:rsid w:val="00733473"/>
    <w:rsid w:val="00734551"/>
    <w:rsid w:val="0073487D"/>
    <w:rsid w:val="0073720F"/>
    <w:rsid w:val="00737796"/>
    <w:rsid w:val="007400C5"/>
    <w:rsid w:val="0074165C"/>
    <w:rsid w:val="00742C35"/>
    <w:rsid w:val="007432CA"/>
    <w:rsid w:val="007439EB"/>
    <w:rsid w:val="00743CB4"/>
    <w:rsid w:val="00743F0A"/>
    <w:rsid w:val="007444E8"/>
    <w:rsid w:val="007447DB"/>
    <w:rsid w:val="007451F0"/>
    <w:rsid w:val="0074548E"/>
    <w:rsid w:val="00745773"/>
    <w:rsid w:val="00746800"/>
    <w:rsid w:val="00746F89"/>
    <w:rsid w:val="00747E81"/>
    <w:rsid w:val="007501A8"/>
    <w:rsid w:val="00750D61"/>
    <w:rsid w:val="00750EE1"/>
    <w:rsid w:val="00751A2B"/>
    <w:rsid w:val="00752B4D"/>
    <w:rsid w:val="0075375E"/>
    <w:rsid w:val="007539F0"/>
    <w:rsid w:val="0075415D"/>
    <w:rsid w:val="00754A65"/>
    <w:rsid w:val="00755402"/>
    <w:rsid w:val="00756B26"/>
    <w:rsid w:val="00756EDF"/>
    <w:rsid w:val="0075755E"/>
    <w:rsid w:val="007600E3"/>
    <w:rsid w:val="0076439F"/>
    <w:rsid w:val="007646AE"/>
    <w:rsid w:val="00764A58"/>
    <w:rsid w:val="00765C43"/>
    <w:rsid w:val="00765EFB"/>
    <w:rsid w:val="007671CA"/>
    <w:rsid w:val="00767C61"/>
    <w:rsid w:val="00767E24"/>
    <w:rsid w:val="0077008A"/>
    <w:rsid w:val="00773C1F"/>
    <w:rsid w:val="00774DA4"/>
    <w:rsid w:val="00775B43"/>
    <w:rsid w:val="00776599"/>
    <w:rsid w:val="00780711"/>
    <w:rsid w:val="00780DC1"/>
    <w:rsid w:val="00780FEF"/>
    <w:rsid w:val="0078114B"/>
    <w:rsid w:val="00781DD2"/>
    <w:rsid w:val="00783063"/>
    <w:rsid w:val="007836A7"/>
    <w:rsid w:val="00783ECF"/>
    <w:rsid w:val="0078413A"/>
    <w:rsid w:val="00791938"/>
    <w:rsid w:val="0079269C"/>
    <w:rsid w:val="007959E8"/>
    <w:rsid w:val="00795E9C"/>
    <w:rsid w:val="00796341"/>
    <w:rsid w:val="00797C42"/>
    <w:rsid w:val="007A0521"/>
    <w:rsid w:val="007A0F3B"/>
    <w:rsid w:val="007A0FD1"/>
    <w:rsid w:val="007A10EE"/>
    <w:rsid w:val="007A1B73"/>
    <w:rsid w:val="007A1D73"/>
    <w:rsid w:val="007A2BCA"/>
    <w:rsid w:val="007A2E12"/>
    <w:rsid w:val="007A3475"/>
    <w:rsid w:val="007A3842"/>
    <w:rsid w:val="007A41C8"/>
    <w:rsid w:val="007A4B57"/>
    <w:rsid w:val="007A54CE"/>
    <w:rsid w:val="007A6FD9"/>
    <w:rsid w:val="007A7FFA"/>
    <w:rsid w:val="007B04EB"/>
    <w:rsid w:val="007B0D4F"/>
    <w:rsid w:val="007B1815"/>
    <w:rsid w:val="007B18BB"/>
    <w:rsid w:val="007B19A1"/>
    <w:rsid w:val="007B26BD"/>
    <w:rsid w:val="007B2ED9"/>
    <w:rsid w:val="007B3380"/>
    <w:rsid w:val="007B36C5"/>
    <w:rsid w:val="007B46C3"/>
    <w:rsid w:val="007B50D1"/>
    <w:rsid w:val="007B5A3D"/>
    <w:rsid w:val="007B5B95"/>
    <w:rsid w:val="007B68EA"/>
    <w:rsid w:val="007B6E30"/>
    <w:rsid w:val="007B6E9E"/>
    <w:rsid w:val="007B7453"/>
    <w:rsid w:val="007C1E8B"/>
    <w:rsid w:val="007C2D89"/>
    <w:rsid w:val="007C3399"/>
    <w:rsid w:val="007C4593"/>
    <w:rsid w:val="007C5309"/>
    <w:rsid w:val="007C55A0"/>
    <w:rsid w:val="007C6069"/>
    <w:rsid w:val="007C630C"/>
    <w:rsid w:val="007C6FBD"/>
    <w:rsid w:val="007C78CC"/>
    <w:rsid w:val="007C7AD3"/>
    <w:rsid w:val="007D06C4"/>
    <w:rsid w:val="007D1352"/>
    <w:rsid w:val="007D2508"/>
    <w:rsid w:val="007D346A"/>
    <w:rsid w:val="007D4666"/>
    <w:rsid w:val="007D6518"/>
    <w:rsid w:val="007D76BD"/>
    <w:rsid w:val="007E0BF1"/>
    <w:rsid w:val="007E18BB"/>
    <w:rsid w:val="007E1A31"/>
    <w:rsid w:val="007E217E"/>
    <w:rsid w:val="007E3506"/>
    <w:rsid w:val="007E3B7F"/>
    <w:rsid w:val="007E59E0"/>
    <w:rsid w:val="007E5E4F"/>
    <w:rsid w:val="007E62D0"/>
    <w:rsid w:val="007E6B69"/>
    <w:rsid w:val="007E70D7"/>
    <w:rsid w:val="007E7B91"/>
    <w:rsid w:val="007F0498"/>
    <w:rsid w:val="007F0CE7"/>
    <w:rsid w:val="007F0ED8"/>
    <w:rsid w:val="007F0F63"/>
    <w:rsid w:val="007F4943"/>
    <w:rsid w:val="007F6452"/>
    <w:rsid w:val="007F75CE"/>
    <w:rsid w:val="007F790F"/>
    <w:rsid w:val="008013A4"/>
    <w:rsid w:val="00801DE8"/>
    <w:rsid w:val="00802324"/>
    <w:rsid w:val="008027CE"/>
    <w:rsid w:val="00802F42"/>
    <w:rsid w:val="00804383"/>
    <w:rsid w:val="00804BB7"/>
    <w:rsid w:val="00804D41"/>
    <w:rsid w:val="008061E1"/>
    <w:rsid w:val="0080625D"/>
    <w:rsid w:val="008079B7"/>
    <w:rsid w:val="00810257"/>
    <w:rsid w:val="008104F5"/>
    <w:rsid w:val="00811072"/>
    <w:rsid w:val="00811369"/>
    <w:rsid w:val="008134F9"/>
    <w:rsid w:val="00813E33"/>
    <w:rsid w:val="00813EF4"/>
    <w:rsid w:val="00815419"/>
    <w:rsid w:val="008163C8"/>
    <w:rsid w:val="008164A1"/>
    <w:rsid w:val="00816AF6"/>
    <w:rsid w:val="00816D1E"/>
    <w:rsid w:val="00817325"/>
    <w:rsid w:val="00817A66"/>
    <w:rsid w:val="008209E6"/>
    <w:rsid w:val="00823303"/>
    <w:rsid w:val="008233B2"/>
    <w:rsid w:val="00823A9F"/>
    <w:rsid w:val="00823C85"/>
    <w:rsid w:val="00825138"/>
    <w:rsid w:val="00825272"/>
    <w:rsid w:val="00826064"/>
    <w:rsid w:val="008269DD"/>
    <w:rsid w:val="00827633"/>
    <w:rsid w:val="00830621"/>
    <w:rsid w:val="00831BB7"/>
    <w:rsid w:val="0083290F"/>
    <w:rsid w:val="0083348C"/>
    <w:rsid w:val="0083350A"/>
    <w:rsid w:val="008346B2"/>
    <w:rsid w:val="008348B3"/>
    <w:rsid w:val="0083694C"/>
    <w:rsid w:val="00836D4C"/>
    <w:rsid w:val="008373D3"/>
    <w:rsid w:val="00840617"/>
    <w:rsid w:val="00840F84"/>
    <w:rsid w:val="00841738"/>
    <w:rsid w:val="008427E6"/>
    <w:rsid w:val="0084280F"/>
    <w:rsid w:val="00842A47"/>
    <w:rsid w:val="008439D5"/>
    <w:rsid w:val="00843C13"/>
    <w:rsid w:val="008454F8"/>
    <w:rsid w:val="0085173A"/>
    <w:rsid w:val="008524DF"/>
    <w:rsid w:val="00852749"/>
    <w:rsid w:val="00855A2C"/>
    <w:rsid w:val="00856316"/>
    <w:rsid w:val="008603CE"/>
    <w:rsid w:val="008620FC"/>
    <w:rsid w:val="008627A5"/>
    <w:rsid w:val="00862910"/>
    <w:rsid w:val="0086342C"/>
    <w:rsid w:val="00863E05"/>
    <w:rsid w:val="0086464F"/>
    <w:rsid w:val="008649A9"/>
    <w:rsid w:val="00865ACA"/>
    <w:rsid w:val="00865D28"/>
    <w:rsid w:val="00865F85"/>
    <w:rsid w:val="00867C10"/>
    <w:rsid w:val="00870439"/>
    <w:rsid w:val="00870DA1"/>
    <w:rsid w:val="00871352"/>
    <w:rsid w:val="0087464A"/>
    <w:rsid w:val="00875430"/>
    <w:rsid w:val="008762E5"/>
    <w:rsid w:val="00882749"/>
    <w:rsid w:val="00883F93"/>
    <w:rsid w:val="0088415E"/>
    <w:rsid w:val="00884DB3"/>
    <w:rsid w:val="00885A9D"/>
    <w:rsid w:val="008864F6"/>
    <w:rsid w:val="0089049D"/>
    <w:rsid w:val="00891590"/>
    <w:rsid w:val="008928C9"/>
    <w:rsid w:val="008930CB"/>
    <w:rsid w:val="008938DC"/>
    <w:rsid w:val="00893FD1"/>
    <w:rsid w:val="00894836"/>
    <w:rsid w:val="0089485B"/>
    <w:rsid w:val="00895172"/>
    <w:rsid w:val="00895680"/>
    <w:rsid w:val="008969E9"/>
    <w:rsid w:val="00896DFF"/>
    <w:rsid w:val="0089762C"/>
    <w:rsid w:val="008A0598"/>
    <w:rsid w:val="008A1893"/>
    <w:rsid w:val="008A2DD7"/>
    <w:rsid w:val="008A2E45"/>
    <w:rsid w:val="008A3215"/>
    <w:rsid w:val="008A3EFB"/>
    <w:rsid w:val="008A4032"/>
    <w:rsid w:val="008A4377"/>
    <w:rsid w:val="008A57E6"/>
    <w:rsid w:val="008A6F81"/>
    <w:rsid w:val="008A769A"/>
    <w:rsid w:val="008A7911"/>
    <w:rsid w:val="008B05D5"/>
    <w:rsid w:val="008B0C9C"/>
    <w:rsid w:val="008B166D"/>
    <w:rsid w:val="008B17F4"/>
    <w:rsid w:val="008B2360"/>
    <w:rsid w:val="008B317A"/>
    <w:rsid w:val="008B3615"/>
    <w:rsid w:val="008B4A75"/>
    <w:rsid w:val="008B4AC4"/>
    <w:rsid w:val="008B50C8"/>
    <w:rsid w:val="008B5281"/>
    <w:rsid w:val="008B70AC"/>
    <w:rsid w:val="008B7323"/>
    <w:rsid w:val="008B7E05"/>
    <w:rsid w:val="008C02CB"/>
    <w:rsid w:val="008C1797"/>
    <w:rsid w:val="008C1E9A"/>
    <w:rsid w:val="008C219C"/>
    <w:rsid w:val="008C3649"/>
    <w:rsid w:val="008C475E"/>
    <w:rsid w:val="008C501A"/>
    <w:rsid w:val="008C51CD"/>
    <w:rsid w:val="008C619A"/>
    <w:rsid w:val="008D07DF"/>
    <w:rsid w:val="008D0CE8"/>
    <w:rsid w:val="008D1E8B"/>
    <w:rsid w:val="008D2D1D"/>
    <w:rsid w:val="008D3D75"/>
    <w:rsid w:val="008D453D"/>
    <w:rsid w:val="008D460B"/>
    <w:rsid w:val="008D4618"/>
    <w:rsid w:val="008D46E1"/>
    <w:rsid w:val="008D4C0D"/>
    <w:rsid w:val="008D53AD"/>
    <w:rsid w:val="008D562B"/>
    <w:rsid w:val="008D5733"/>
    <w:rsid w:val="008D622B"/>
    <w:rsid w:val="008D666C"/>
    <w:rsid w:val="008D75DA"/>
    <w:rsid w:val="008D7B54"/>
    <w:rsid w:val="008E0C9D"/>
    <w:rsid w:val="008E1648"/>
    <w:rsid w:val="008E1B3E"/>
    <w:rsid w:val="008E1C82"/>
    <w:rsid w:val="008E2319"/>
    <w:rsid w:val="008E4BB6"/>
    <w:rsid w:val="008E5518"/>
    <w:rsid w:val="008E6A84"/>
    <w:rsid w:val="008F0CDC"/>
    <w:rsid w:val="008F0FAA"/>
    <w:rsid w:val="008F17A3"/>
    <w:rsid w:val="008F1ED3"/>
    <w:rsid w:val="008F23A5"/>
    <w:rsid w:val="008F3546"/>
    <w:rsid w:val="008F3CE4"/>
    <w:rsid w:val="008F4C29"/>
    <w:rsid w:val="008F6683"/>
    <w:rsid w:val="008F70BD"/>
    <w:rsid w:val="008F788F"/>
    <w:rsid w:val="008F7EA2"/>
    <w:rsid w:val="0090085A"/>
    <w:rsid w:val="00902722"/>
    <w:rsid w:val="009027BC"/>
    <w:rsid w:val="00903663"/>
    <w:rsid w:val="00903EA4"/>
    <w:rsid w:val="00904617"/>
    <w:rsid w:val="009062E6"/>
    <w:rsid w:val="00906521"/>
    <w:rsid w:val="0090733E"/>
    <w:rsid w:val="00911BE5"/>
    <w:rsid w:val="009135CB"/>
    <w:rsid w:val="00913CA9"/>
    <w:rsid w:val="009145AE"/>
    <w:rsid w:val="009146CE"/>
    <w:rsid w:val="00914CA7"/>
    <w:rsid w:val="00914F8E"/>
    <w:rsid w:val="009154F7"/>
    <w:rsid w:val="0091550D"/>
    <w:rsid w:val="00915C3E"/>
    <w:rsid w:val="009161A8"/>
    <w:rsid w:val="00921378"/>
    <w:rsid w:val="00922C63"/>
    <w:rsid w:val="00923C7D"/>
    <w:rsid w:val="009245F5"/>
    <w:rsid w:val="009249EC"/>
    <w:rsid w:val="00925B96"/>
    <w:rsid w:val="00926EB1"/>
    <w:rsid w:val="00926F0E"/>
    <w:rsid w:val="009273B3"/>
    <w:rsid w:val="009277D3"/>
    <w:rsid w:val="0093020C"/>
    <w:rsid w:val="009305B5"/>
    <w:rsid w:val="009329F6"/>
    <w:rsid w:val="009359E1"/>
    <w:rsid w:val="009374CD"/>
    <w:rsid w:val="00940CED"/>
    <w:rsid w:val="00941242"/>
    <w:rsid w:val="009429D5"/>
    <w:rsid w:val="00942BF1"/>
    <w:rsid w:val="00944088"/>
    <w:rsid w:val="00944465"/>
    <w:rsid w:val="009444F4"/>
    <w:rsid w:val="00944E79"/>
    <w:rsid w:val="00945180"/>
    <w:rsid w:val="00945428"/>
    <w:rsid w:val="00945A2B"/>
    <w:rsid w:val="0094607B"/>
    <w:rsid w:val="00946C32"/>
    <w:rsid w:val="00950C8E"/>
    <w:rsid w:val="00950CA8"/>
    <w:rsid w:val="009516BC"/>
    <w:rsid w:val="00953604"/>
    <w:rsid w:val="00953830"/>
    <w:rsid w:val="0095496B"/>
    <w:rsid w:val="00954B9F"/>
    <w:rsid w:val="00954FA4"/>
    <w:rsid w:val="00957AFE"/>
    <w:rsid w:val="009601B6"/>
    <w:rsid w:val="009610DC"/>
    <w:rsid w:val="00961490"/>
    <w:rsid w:val="0096381A"/>
    <w:rsid w:val="00964863"/>
    <w:rsid w:val="00965E04"/>
    <w:rsid w:val="009674AD"/>
    <w:rsid w:val="00967E0A"/>
    <w:rsid w:val="009709AC"/>
    <w:rsid w:val="00970CDC"/>
    <w:rsid w:val="00974F95"/>
    <w:rsid w:val="00975F8A"/>
    <w:rsid w:val="009762C7"/>
    <w:rsid w:val="00977010"/>
    <w:rsid w:val="00977D02"/>
    <w:rsid w:val="009809BB"/>
    <w:rsid w:val="009811BA"/>
    <w:rsid w:val="0098364B"/>
    <w:rsid w:val="00983835"/>
    <w:rsid w:val="00986E09"/>
    <w:rsid w:val="00987504"/>
    <w:rsid w:val="00987C02"/>
    <w:rsid w:val="0099092C"/>
    <w:rsid w:val="009911AF"/>
    <w:rsid w:val="00991875"/>
    <w:rsid w:val="00991F92"/>
    <w:rsid w:val="00992985"/>
    <w:rsid w:val="00993889"/>
    <w:rsid w:val="0099505D"/>
    <w:rsid w:val="0099551B"/>
    <w:rsid w:val="00995CD1"/>
    <w:rsid w:val="00997BF1"/>
    <w:rsid w:val="009A089C"/>
    <w:rsid w:val="009A118E"/>
    <w:rsid w:val="009A21CD"/>
    <w:rsid w:val="009A2286"/>
    <w:rsid w:val="009A278C"/>
    <w:rsid w:val="009A2BC2"/>
    <w:rsid w:val="009A38AB"/>
    <w:rsid w:val="009A42C1"/>
    <w:rsid w:val="009A5429"/>
    <w:rsid w:val="009A6DC0"/>
    <w:rsid w:val="009A72AD"/>
    <w:rsid w:val="009B0543"/>
    <w:rsid w:val="009B09E0"/>
    <w:rsid w:val="009B0BC5"/>
    <w:rsid w:val="009B1247"/>
    <w:rsid w:val="009B223A"/>
    <w:rsid w:val="009B25EC"/>
    <w:rsid w:val="009B26C9"/>
    <w:rsid w:val="009B424D"/>
    <w:rsid w:val="009B46F9"/>
    <w:rsid w:val="009B48C6"/>
    <w:rsid w:val="009B6029"/>
    <w:rsid w:val="009B63D5"/>
    <w:rsid w:val="009B6971"/>
    <w:rsid w:val="009B6B45"/>
    <w:rsid w:val="009B6F09"/>
    <w:rsid w:val="009B76F7"/>
    <w:rsid w:val="009C15C8"/>
    <w:rsid w:val="009C19A8"/>
    <w:rsid w:val="009C27F1"/>
    <w:rsid w:val="009C2A92"/>
    <w:rsid w:val="009C3152"/>
    <w:rsid w:val="009C3F86"/>
    <w:rsid w:val="009C47C7"/>
    <w:rsid w:val="009C4CFA"/>
    <w:rsid w:val="009C5070"/>
    <w:rsid w:val="009C6867"/>
    <w:rsid w:val="009C719C"/>
    <w:rsid w:val="009C74E3"/>
    <w:rsid w:val="009D112C"/>
    <w:rsid w:val="009D47FA"/>
    <w:rsid w:val="009D4C5B"/>
    <w:rsid w:val="009D50D2"/>
    <w:rsid w:val="009D6BCA"/>
    <w:rsid w:val="009D7A8E"/>
    <w:rsid w:val="009E0F62"/>
    <w:rsid w:val="009E2413"/>
    <w:rsid w:val="009E2837"/>
    <w:rsid w:val="009E4A58"/>
    <w:rsid w:val="009E5090"/>
    <w:rsid w:val="009E5A2D"/>
    <w:rsid w:val="009E5AB2"/>
    <w:rsid w:val="009E6219"/>
    <w:rsid w:val="009E748D"/>
    <w:rsid w:val="009E78D6"/>
    <w:rsid w:val="009F03B3"/>
    <w:rsid w:val="009F058F"/>
    <w:rsid w:val="009F06CE"/>
    <w:rsid w:val="009F6336"/>
    <w:rsid w:val="009F6BDC"/>
    <w:rsid w:val="009F6CB9"/>
    <w:rsid w:val="00A0096C"/>
    <w:rsid w:val="00A00972"/>
    <w:rsid w:val="00A00BEF"/>
    <w:rsid w:val="00A01757"/>
    <w:rsid w:val="00A01D70"/>
    <w:rsid w:val="00A028C0"/>
    <w:rsid w:val="00A02BAE"/>
    <w:rsid w:val="00A04C58"/>
    <w:rsid w:val="00A05250"/>
    <w:rsid w:val="00A0617D"/>
    <w:rsid w:val="00A06A6B"/>
    <w:rsid w:val="00A07E47"/>
    <w:rsid w:val="00A101B6"/>
    <w:rsid w:val="00A12512"/>
    <w:rsid w:val="00A129A8"/>
    <w:rsid w:val="00A129D0"/>
    <w:rsid w:val="00A12C33"/>
    <w:rsid w:val="00A138BA"/>
    <w:rsid w:val="00A14C8E"/>
    <w:rsid w:val="00A153D9"/>
    <w:rsid w:val="00A15F09"/>
    <w:rsid w:val="00A169B6"/>
    <w:rsid w:val="00A17427"/>
    <w:rsid w:val="00A1768E"/>
    <w:rsid w:val="00A2271D"/>
    <w:rsid w:val="00A23407"/>
    <w:rsid w:val="00A237D5"/>
    <w:rsid w:val="00A23CD6"/>
    <w:rsid w:val="00A24984"/>
    <w:rsid w:val="00A2601A"/>
    <w:rsid w:val="00A2748C"/>
    <w:rsid w:val="00A30B6D"/>
    <w:rsid w:val="00A30EFC"/>
    <w:rsid w:val="00A31984"/>
    <w:rsid w:val="00A32348"/>
    <w:rsid w:val="00A32D73"/>
    <w:rsid w:val="00A33349"/>
    <w:rsid w:val="00A3335B"/>
    <w:rsid w:val="00A3367B"/>
    <w:rsid w:val="00A338FF"/>
    <w:rsid w:val="00A3597D"/>
    <w:rsid w:val="00A36DD1"/>
    <w:rsid w:val="00A4006C"/>
    <w:rsid w:val="00A40091"/>
    <w:rsid w:val="00A4030F"/>
    <w:rsid w:val="00A418C6"/>
    <w:rsid w:val="00A41C79"/>
    <w:rsid w:val="00A41CB5"/>
    <w:rsid w:val="00A41D0D"/>
    <w:rsid w:val="00A426B5"/>
    <w:rsid w:val="00A42CDF"/>
    <w:rsid w:val="00A4381B"/>
    <w:rsid w:val="00A4452E"/>
    <w:rsid w:val="00A4472C"/>
    <w:rsid w:val="00A44E69"/>
    <w:rsid w:val="00A451E1"/>
    <w:rsid w:val="00A4661E"/>
    <w:rsid w:val="00A47359"/>
    <w:rsid w:val="00A5026C"/>
    <w:rsid w:val="00A50990"/>
    <w:rsid w:val="00A550EA"/>
    <w:rsid w:val="00A55BD6"/>
    <w:rsid w:val="00A55D50"/>
    <w:rsid w:val="00A57142"/>
    <w:rsid w:val="00A57C51"/>
    <w:rsid w:val="00A63153"/>
    <w:rsid w:val="00A648CD"/>
    <w:rsid w:val="00A6537A"/>
    <w:rsid w:val="00A66A67"/>
    <w:rsid w:val="00A676A1"/>
    <w:rsid w:val="00A67866"/>
    <w:rsid w:val="00A70B07"/>
    <w:rsid w:val="00A719DB"/>
    <w:rsid w:val="00A723F8"/>
    <w:rsid w:val="00A72A71"/>
    <w:rsid w:val="00A76A93"/>
    <w:rsid w:val="00A77694"/>
    <w:rsid w:val="00A77CCB"/>
    <w:rsid w:val="00A81E1A"/>
    <w:rsid w:val="00A82792"/>
    <w:rsid w:val="00A82F65"/>
    <w:rsid w:val="00A83D8D"/>
    <w:rsid w:val="00A84436"/>
    <w:rsid w:val="00A8446B"/>
    <w:rsid w:val="00A8473F"/>
    <w:rsid w:val="00A85EC5"/>
    <w:rsid w:val="00A862D6"/>
    <w:rsid w:val="00A8715E"/>
    <w:rsid w:val="00A9019C"/>
    <w:rsid w:val="00A90A38"/>
    <w:rsid w:val="00A91611"/>
    <w:rsid w:val="00A922CD"/>
    <w:rsid w:val="00A9295B"/>
    <w:rsid w:val="00A92EE8"/>
    <w:rsid w:val="00A93B09"/>
    <w:rsid w:val="00A94247"/>
    <w:rsid w:val="00A942C2"/>
    <w:rsid w:val="00A952D7"/>
    <w:rsid w:val="00A95A11"/>
    <w:rsid w:val="00A95AEF"/>
    <w:rsid w:val="00A963F7"/>
    <w:rsid w:val="00A96AD8"/>
    <w:rsid w:val="00AA01AA"/>
    <w:rsid w:val="00AA052C"/>
    <w:rsid w:val="00AA1901"/>
    <w:rsid w:val="00AA1E45"/>
    <w:rsid w:val="00AA2C20"/>
    <w:rsid w:val="00AA4286"/>
    <w:rsid w:val="00AA456B"/>
    <w:rsid w:val="00AA4FF6"/>
    <w:rsid w:val="00AA57F5"/>
    <w:rsid w:val="00AA599A"/>
    <w:rsid w:val="00AA5C86"/>
    <w:rsid w:val="00AA672E"/>
    <w:rsid w:val="00AA6EC9"/>
    <w:rsid w:val="00AA79F8"/>
    <w:rsid w:val="00AB20DB"/>
    <w:rsid w:val="00AB24CD"/>
    <w:rsid w:val="00AB27B1"/>
    <w:rsid w:val="00AB3D75"/>
    <w:rsid w:val="00AB41D5"/>
    <w:rsid w:val="00AB6309"/>
    <w:rsid w:val="00AB6C5F"/>
    <w:rsid w:val="00AB7129"/>
    <w:rsid w:val="00AB78B2"/>
    <w:rsid w:val="00AC2545"/>
    <w:rsid w:val="00AC27A6"/>
    <w:rsid w:val="00AC30F7"/>
    <w:rsid w:val="00AC3743"/>
    <w:rsid w:val="00AC3A5A"/>
    <w:rsid w:val="00AC4D95"/>
    <w:rsid w:val="00AC5258"/>
    <w:rsid w:val="00AC5DF4"/>
    <w:rsid w:val="00AC7386"/>
    <w:rsid w:val="00AD0AEF"/>
    <w:rsid w:val="00AD11B7"/>
    <w:rsid w:val="00AD1287"/>
    <w:rsid w:val="00AD149A"/>
    <w:rsid w:val="00AD1A94"/>
    <w:rsid w:val="00AD1C05"/>
    <w:rsid w:val="00AD1F8D"/>
    <w:rsid w:val="00AD24C9"/>
    <w:rsid w:val="00AD34D4"/>
    <w:rsid w:val="00AD4126"/>
    <w:rsid w:val="00AD421C"/>
    <w:rsid w:val="00AD44FA"/>
    <w:rsid w:val="00AD5260"/>
    <w:rsid w:val="00AD57B8"/>
    <w:rsid w:val="00AD6B1B"/>
    <w:rsid w:val="00AE070A"/>
    <w:rsid w:val="00AE101C"/>
    <w:rsid w:val="00AE37E5"/>
    <w:rsid w:val="00AE4EA5"/>
    <w:rsid w:val="00AE50ED"/>
    <w:rsid w:val="00AE5EB4"/>
    <w:rsid w:val="00AE6491"/>
    <w:rsid w:val="00AE7D5C"/>
    <w:rsid w:val="00AF0C18"/>
    <w:rsid w:val="00AF113F"/>
    <w:rsid w:val="00AF27E1"/>
    <w:rsid w:val="00AF47C5"/>
    <w:rsid w:val="00AF5398"/>
    <w:rsid w:val="00B02A3A"/>
    <w:rsid w:val="00B049AF"/>
    <w:rsid w:val="00B05216"/>
    <w:rsid w:val="00B054CA"/>
    <w:rsid w:val="00B07242"/>
    <w:rsid w:val="00B10534"/>
    <w:rsid w:val="00B112C2"/>
    <w:rsid w:val="00B113DB"/>
    <w:rsid w:val="00B11D8A"/>
    <w:rsid w:val="00B12981"/>
    <w:rsid w:val="00B12F01"/>
    <w:rsid w:val="00B147DD"/>
    <w:rsid w:val="00B156FD"/>
    <w:rsid w:val="00B157AF"/>
    <w:rsid w:val="00B15F3B"/>
    <w:rsid w:val="00B17BCF"/>
    <w:rsid w:val="00B21D31"/>
    <w:rsid w:val="00B21F61"/>
    <w:rsid w:val="00B222E3"/>
    <w:rsid w:val="00B22DCE"/>
    <w:rsid w:val="00B23506"/>
    <w:rsid w:val="00B243AE"/>
    <w:rsid w:val="00B24E0E"/>
    <w:rsid w:val="00B25B9C"/>
    <w:rsid w:val="00B261F1"/>
    <w:rsid w:val="00B265BC"/>
    <w:rsid w:val="00B27CDC"/>
    <w:rsid w:val="00B31C4C"/>
    <w:rsid w:val="00B31FB1"/>
    <w:rsid w:val="00B33137"/>
    <w:rsid w:val="00B3389A"/>
    <w:rsid w:val="00B33952"/>
    <w:rsid w:val="00B33C5E"/>
    <w:rsid w:val="00B340FD"/>
    <w:rsid w:val="00B342F4"/>
    <w:rsid w:val="00B34369"/>
    <w:rsid w:val="00B34DC2"/>
    <w:rsid w:val="00B35156"/>
    <w:rsid w:val="00B36ABE"/>
    <w:rsid w:val="00B378E5"/>
    <w:rsid w:val="00B41422"/>
    <w:rsid w:val="00B42C77"/>
    <w:rsid w:val="00B4346D"/>
    <w:rsid w:val="00B440F4"/>
    <w:rsid w:val="00B447A5"/>
    <w:rsid w:val="00B44CA5"/>
    <w:rsid w:val="00B46219"/>
    <w:rsid w:val="00B4654C"/>
    <w:rsid w:val="00B46AF0"/>
    <w:rsid w:val="00B47293"/>
    <w:rsid w:val="00B47DC8"/>
    <w:rsid w:val="00B50E50"/>
    <w:rsid w:val="00B52120"/>
    <w:rsid w:val="00B5425A"/>
    <w:rsid w:val="00B54ABC"/>
    <w:rsid w:val="00B54DDE"/>
    <w:rsid w:val="00B5564D"/>
    <w:rsid w:val="00B563DB"/>
    <w:rsid w:val="00B56FBE"/>
    <w:rsid w:val="00B572C5"/>
    <w:rsid w:val="00B60ACF"/>
    <w:rsid w:val="00B618F3"/>
    <w:rsid w:val="00B61A3B"/>
    <w:rsid w:val="00B62B58"/>
    <w:rsid w:val="00B634E7"/>
    <w:rsid w:val="00B65149"/>
    <w:rsid w:val="00B66567"/>
    <w:rsid w:val="00B66F52"/>
    <w:rsid w:val="00B66FE5"/>
    <w:rsid w:val="00B67B8E"/>
    <w:rsid w:val="00B705F1"/>
    <w:rsid w:val="00B70686"/>
    <w:rsid w:val="00B70D03"/>
    <w:rsid w:val="00B72880"/>
    <w:rsid w:val="00B72F29"/>
    <w:rsid w:val="00B736F9"/>
    <w:rsid w:val="00B748A8"/>
    <w:rsid w:val="00B758BF"/>
    <w:rsid w:val="00B7590E"/>
    <w:rsid w:val="00B75E65"/>
    <w:rsid w:val="00B77EC8"/>
    <w:rsid w:val="00B81B7E"/>
    <w:rsid w:val="00B827A6"/>
    <w:rsid w:val="00B82E73"/>
    <w:rsid w:val="00B831CE"/>
    <w:rsid w:val="00B8597E"/>
    <w:rsid w:val="00B85EE2"/>
    <w:rsid w:val="00B86677"/>
    <w:rsid w:val="00B87131"/>
    <w:rsid w:val="00B9177E"/>
    <w:rsid w:val="00B918B2"/>
    <w:rsid w:val="00B9383F"/>
    <w:rsid w:val="00B93926"/>
    <w:rsid w:val="00B939B1"/>
    <w:rsid w:val="00B9406C"/>
    <w:rsid w:val="00B96D40"/>
    <w:rsid w:val="00B97386"/>
    <w:rsid w:val="00BA12B6"/>
    <w:rsid w:val="00BA263B"/>
    <w:rsid w:val="00BA32A3"/>
    <w:rsid w:val="00BA42B2"/>
    <w:rsid w:val="00BA45B7"/>
    <w:rsid w:val="00BA58D4"/>
    <w:rsid w:val="00BA5B9E"/>
    <w:rsid w:val="00BA629C"/>
    <w:rsid w:val="00BA7C9A"/>
    <w:rsid w:val="00BB0959"/>
    <w:rsid w:val="00BB1053"/>
    <w:rsid w:val="00BB203B"/>
    <w:rsid w:val="00BB2053"/>
    <w:rsid w:val="00BB4ED8"/>
    <w:rsid w:val="00BB5E95"/>
    <w:rsid w:val="00BB5F8F"/>
    <w:rsid w:val="00BB657A"/>
    <w:rsid w:val="00BB7351"/>
    <w:rsid w:val="00BC1A4E"/>
    <w:rsid w:val="00BC4790"/>
    <w:rsid w:val="00BC5DC7"/>
    <w:rsid w:val="00BC6B8B"/>
    <w:rsid w:val="00BC71AE"/>
    <w:rsid w:val="00BC73D8"/>
    <w:rsid w:val="00BD48F8"/>
    <w:rsid w:val="00BD52D7"/>
    <w:rsid w:val="00BD5631"/>
    <w:rsid w:val="00BD5AD2"/>
    <w:rsid w:val="00BD5BA2"/>
    <w:rsid w:val="00BD7A64"/>
    <w:rsid w:val="00BE0D8C"/>
    <w:rsid w:val="00BE124F"/>
    <w:rsid w:val="00BE22F3"/>
    <w:rsid w:val="00BE2550"/>
    <w:rsid w:val="00BE346F"/>
    <w:rsid w:val="00BE3BFA"/>
    <w:rsid w:val="00BE5282"/>
    <w:rsid w:val="00BE5B52"/>
    <w:rsid w:val="00BE7B8D"/>
    <w:rsid w:val="00BF0993"/>
    <w:rsid w:val="00BF10A9"/>
    <w:rsid w:val="00BF1703"/>
    <w:rsid w:val="00BF19F9"/>
    <w:rsid w:val="00BF231C"/>
    <w:rsid w:val="00BF28E5"/>
    <w:rsid w:val="00BF41ED"/>
    <w:rsid w:val="00BF51E5"/>
    <w:rsid w:val="00BF5E62"/>
    <w:rsid w:val="00BF74A6"/>
    <w:rsid w:val="00C013AD"/>
    <w:rsid w:val="00C02C37"/>
    <w:rsid w:val="00C04904"/>
    <w:rsid w:val="00C056B3"/>
    <w:rsid w:val="00C06470"/>
    <w:rsid w:val="00C06C74"/>
    <w:rsid w:val="00C103E5"/>
    <w:rsid w:val="00C117FC"/>
    <w:rsid w:val="00C13319"/>
    <w:rsid w:val="00C13EE9"/>
    <w:rsid w:val="00C15F0E"/>
    <w:rsid w:val="00C17A19"/>
    <w:rsid w:val="00C21540"/>
    <w:rsid w:val="00C21906"/>
    <w:rsid w:val="00C21BFA"/>
    <w:rsid w:val="00C2207D"/>
    <w:rsid w:val="00C22148"/>
    <w:rsid w:val="00C23E90"/>
    <w:rsid w:val="00C24C8D"/>
    <w:rsid w:val="00C250F4"/>
    <w:rsid w:val="00C25FE2"/>
    <w:rsid w:val="00C26B53"/>
    <w:rsid w:val="00C26CD0"/>
    <w:rsid w:val="00C279B2"/>
    <w:rsid w:val="00C32119"/>
    <w:rsid w:val="00C3211E"/>
    <w:rsid w:val="00C32E70"/>
    <w:rsid w:val="00C33E50"/>
    <w:rsid w:val="00C34C20"/>
    <w:rsid w:val="00C35A3E"/>
    <w:rsid w:val="00C41E0B"/>
    <w:rsid w:val="00C42130"/>
    <w:rsid w:val="00C423A4"/>
    <w:rsid w:val="00C44B53"/>
    <w:rsid w:val="00C44BF5"/>
    <w:rsid w:val="00C44ECE"/>
    <w:rsid w:val="00C46A86"/>
    <w:rsid w:val="00C47D78"/>
    <w:rsid w:val="00C50B72"/>
    <w:rsid w:val="00C514B4"/>
    <w:rsid w:val="00C51F63"/>
    <w:rsid w:val="00C521D6"/>
    <w:rsid w:val="00C54EE2"/>
    <w:rsid w:val="00C55232"/>
    <w:rsid w:val="00C553A4"/>
    <w:rsid w:val="00C55A06"/>
    <w:rsid w:val="00C55D03"/>
    <w:rsid w:val="00C56376"/>
    <w:rsid w:val="00C56D48"/>
    <w:rsid w:val="00C57B04"/>
    <w:rsid w:val="00C57C23"/>
    <w:rsid w:val="00C601BC"/>
    <w:rsid w:val="00C613DA"/>
    <w:rsid w:val="00C6145F"/>
    <w:rsid w:val="00C61AF3"/>
    <w:rsid w:val="00C6329F"/>
    <w:rsid w:val="00C63340"/>
    <w:rsid w:val="00C64375"/>
    <w:rsid w:val="00C643F9"/>
    <w:rsid w:val="00C649A2"/>
    <w:rsid w:val="00C64E95"/>
    <w:rsid w:val="00C6610D"/>
    <w:rsid w:val="00C67FA6"/>
    <w:rsid w:val="00C70948"/>
    <w:rsid w:val="00C710FC"/>
    <w:rsid w:val="00C71372"/>
    <w:rsid w:val="00C72410"/>
    <w:rsid w:val="00C726EF"/>
    <w:rsid w:val="00C7287F"/>
    <w:rsid w:val="00C74143"/>
    <w:rsid w:val="00C744DF"/>
    <w:rsid w:val="00C7519D"/>
    <w:rsid w:val="00C757C5"/>
    <w:rsid w:val="00C77163"/>
    <w:rsid w:val="00C773A2"/>
    <w:rsid w:val="00C80371"/>
    <w:rsid w:val="00C80C27"/>
    <w:rsid w:val="00C80CB8"/>
    <w:rsid w:val="00C814D3"/>
    <w:rsid w:val="00C819F8"/>
    <w:rsid w:val="00C8248C"/>
    <w:rsid w:val="00C8429E"/>
    <w:rsid w:val="00C84E33"/>
    <w:rsid w:val="00C8526D"/>
    <w:rsid w:val="00C86D6F"/>
    <w:rsid w:val="00C87526"/>
    <w:rsid w:val="00C905FC"/>
    <w:rsid w:val="00C92697"/>
    <w:rsid w:val="00C92AAB"/>
    <w:rsid w:val="00C92D03"/>
    <w:rsid w:val="00C9319C"/>
    <w:rsid w:val="00C9435D"/>
    <w:rsid w:val="00C94DF2"/>
    <w:rsid w:val="00C95B74"/>
    <w:rsid w:val="00C96741"/>
    <w:rsid w:val="00CA120B"/>
    <w:rsid w:val="00CA2D1B"/>
    <w:rsid w:val="00CA3283"/>
    <w:rsid w:val="00CA375D"/>
    <w:rsid w:val="00CA501A"/>
    <w:rsid w:val="00CA662A"/>
    <w:rsid w:val="00CA712E"/>
    <w:rsid w:val="00CA7475"/>
    <w:rsid w:val="00CA7AFD"/>
    <w:rsid w:val="00CA7C3C"/>
    <w:rsid w:val="00CB0189"/>
    <w:rsid w:val="00CB0BA2"/>
    <w:rsid w:val="00CB1A42"/>
    <w:rsid w:val="00CB1B0C"/>
    <w:rsid w:val="00CB1D84"/>
    <w:rsid w:val="00CB2C0B"/>
    <w:rsid w:val="00CB2E79"/>
    <w:rsid w:val="00CB3324"/>
    <w:rsid w:val="00CB517D"/>
    <w:rsid w:val="00CC038D"/>
    <w:rsid w:val="00CC08DB"/>
    <w:rsid w:val="00CC39FF"/>
    <w:rsid w:val="00CC3C2F"/>
    <w:rsid w:val="00CC4AC8"/>
    <w:rsid w:val="00CC5233"/>
    <w:rsid w:val="00CC5DE6"/>
    <w:rsid w:val="00CC600B"/>
    <w:rsid w:val="00CC6E4E"/>
    <w:rsid w:val="00CC6FE8"/>
    <w:rsid w:val="00CC7202"/>
    <w:rsid w:val="00CD0741"/>
    <w:rsid w:val="00CD18D5"/>
    <w:rsid w:val="00CD2808"/>
    <w:rsid w:val="00CD28BF"/>
    <w:rsid w:val="00CD3925"/>
    <w:rsid w:val="00CD4092"/>
    <w:rsid w:val="00CD4A20"/>
    <w:rsid w:val="00CD50A1"/>
    <w:rsid w:val="00CD519E"/>
    <w:rsid w:val="00CD561D"/>
    <w:rsid w:val="00CD60F8"/>
    <w:rsid w:val="00CE08A9"/>
    <w:rsid w:val="00CE0C4F"/>
    <w:rsid w:val="00CE30EA"/>
    <w:rsid w:val="00CE33BC"/>
    <w:rsid w:val="00CE3D2B"/>
    <w:rsid w:val="00CE4F5E"/>
    <w:rsid w:val="00CE73A7"/>
    <w:rsid w:val="00CF048A"/>
    <w:rsid w:val="00CF155A"/>
    <w:rsid w:val="00CF2947"/>
    <w:rsid w:val="00CF4C13"/>
    <w:rsid w:val="00CF686F"/>
    <w:rsid w:val="00CF6BF4"/>
    <w:rsid w:val="00CF6E60"/>
    <w:rsid w:val="00CF7261"/>
    <w:rsid w:val="00CF7AAF"/>
    <w:rsid w:val="00CF7BCA"/>
    <w:rsid w:val="00D008FD"/>
    <w:rsid w:val="00D00EE1"/>
    <w:rsid w:val="00D02CD9"/>
    <w:rsid w:val="00D0321C"/>
    <w:rsid w:val="00D035EC"/>
    <w:rsid w:val="00D037A1"/>
    <w:rsid w:val="00D04C60"/>
    <w:rsid w:val="00D06187"/>
    <w:rsid w:val="00D06AB1"/>
    <w:rsid w:val="00D072ED"/>
    <w:rsid w:val="00D072FC"/>
    <w:rsid w:val="00D07A16"/>
    <w:rsid w:val="00D1067E"/>
    <w:rsid w:val="00D10F50"/>
    <w:rsid w:val="00D11272"/>
    <w:rsid w:val="00D126F5"/>
    <w:rsid w:val="00D1489E"/>
    <w:rsid w:val="00D20737"/>
    <w:rsid w:val="00D21E81"/>
    <w:rsid w:val="00D223DE"/>
    <w:rsid w:val="00D247EB"/>
    <w:rsid w:val="00D25166"/>
    <w:rsid w:val="00D25E37"/>
    <w:rsid w:val="00D25EBC"/>
    <w:rsid w:val="00D2661A"/>
    <w:rsid w:val="00D26C96"/>
    <w:rsid w:val="00D27101"/>
    <w:rsid w:val="00D27582"/>
    <w:rsid w:val="00D277EE"/>
    <w:rsid w:val="00D27EC4"/>
    <w:rsid w:val="00D30C2F"/>
    <w:rsid w:val="00D31357"/>
    <w:rsid w:val="00D32719"/>
    <w:rsid w:val="00D33333"/>
    <w:rsid w:val="00D33457"/>
    <w:rsid w:val="00D352A2"/>
    <w:rsid w:val="00D360C6"/>
    <w:rsid w:val="00D368CA"/>
    <w:rsid w:val="00D4162B"/>
    <w:rsid w:val="00D432F5"/>
    <w:rsid w:val="00D439F2"/>
    <w:rsid w:val="00D4514F"/>
    <w:rsid w:val="00D451E2"/>
    <w:rsid w:val="00D45E89"/>
    <w:rsid w:val="00D45E8D"/>
    <w:rsid w:val="00D466AE"/>
    <w:rsid w:val="00D46FDD"/>
    <w:rsid w:val="00D4734F"/>
    <w:rsid w:val="00D505CC"/>
    <w:rsid w:val="00D5079A"/>
    <w:rsid w:val="00D51BF3"/>
    <w:rsid w:val="00D525C5"/>
    <w:rsid w:val="00D54CB2"/>
    <w:rsid w:val="00D54E26"/>
    <w:rsid w:val="00D54F63"/>
    <w:rsid w:val="00D55573"/>
    <w:rsid w:val="00D55A06"/>
    <w:rsid w:val="00D55C80"/>
    <w:rsid w:val="00D63089"/>
    <w:rsid w:val="00D63F4F"/>
    <w:rsid w:val="00D651EE"/>
    <w:rsid w:val="00D6585C"/>
    <w:rsid w:val="00D663BE"/>
    <w:rsid w:val="00D66846"/>
    <w:rsid w:val="00D6694C"/>
    <w:rsid w:val="00D6709A"/>
    <w:rsid w:val="00D675FB"/>
    <w:rsid w:val="00D71893"/>
    <w:rsid w:val="00D71F25"/>
    <w:rsid w:val="00D72A9C"/>
    <w:rsid w:val="00D749B7"/>
    <w:rsid w:val="00D77031"/>
    <w:rsid w:val="00D773FE"/>
    <w:rsid w:val="00D80D64"/>
    <w:rsid w:val="00D81EB8"/>
    <w:rsid w:val="00D82CAD"/>
    <w:rsid w:val="00D8382B"/>
    <w:rsid w:val="00D84941"/>
    <w:rsid w:val="00D84FA1"/>
    <w:rsid w:val="00D851F0"/>
    <w:rsid w:val="00D86DB7"/>
    <w:rsid w:val="00D874E4"/>
    <w:rsid w:val="00D92010"/>
    <w:rsid w:val="00D92184"/>
    <w:rsid w:val="00D926D0"/>
    <w:rsid w:val="00D93030"/>
    <w:rsid w:val="00D94815"/>
    <w:rsid w:val="00D950E1"/>
    <w:rsid w:val="00D952A6"/>
    <w:rsid w:val="00D96019"/>
    <w:rsid w:val="00D9677E"/>
    <w:rsid w:val="00D97F99"/>
    <w:rsid w:val="00DA12D5"/>
    <w:rsid w:val="00DA1B56"/>
    <w:rsid w:val="00DA1B7A"/>
    <w:rsid w:val="00DA1E08"/>
    <w:rsid w:val="00DA24F8"/>
    <w:rsid w:val="00DA28E8"/>
    <w:rsid w:val="00DA29FE"/>
    <w:rsid w:val="00DA2DC8"/>
    <w:rsid w:val="00DA38D3"/>
    <w:rsid w:val="00DA3932"/>
    <w:rsid w:val="00DA3AFC"/>
    <w:rsid w:val="00DA5191"/>
    <w:rsid w:val="00DA64F8"/>
    <w:rsid w:val="00DA6C15"/>
    <w:rsid w:val="00DB0258"/>
    <w:rsid w:val="00DB1D7B"/>
    <w:rsid w:val="00DB38EE"/>
    <w:rsid w:val="00DB498B"/>
    <w:rsid w:val="00DB4E19"/>
    <w:rsid w:val="00DB66CA"/>
    <w:rsid w:val="00DB6BCA"/>
    <w:rsid w:val="00DB73F7"/>
    <w:rsid w:val="00DB76A2"/>
    <w:rsid w:val="00DC0321"/>
    <w:rsid w:val="00DC0728"/>
    <w:rsid w:val="00DC1D0A"/>
    <w:rsid w:val="00DC2ABB"/>
    <w:rsid w:val="00DC2D05"/>
    <w:rsid w:val="00DC3067"/>
    <w:rsid w:val="00DC370B"/>
    <w:rsid w:val="00DC47E9"/>
    <w:rsid w:val="00DC5B90"/>
    <w:rsid w:val="00DC7E1B"/>
    <w:rsid w:val="00DD00FF"/>
    <w:rsid w:val="00DD0619"/>
    <w:rsid w:val="00DD07FB"/>
    <w:rsid w:val="00DD1550"/>
    <w:rsid w:val="00DD1675"/>
    <w:rsid w:val="00DD17FA"/>
    <w:rsid w:val="00DD25C6"/>
    <w:rsid w:val="00DD4FE5"/>
    <w:rsid w:val="00DD54B0"/>
    <w:rsid w:val="00DD57EE"/>
    <w:rsid w:val="00DD593E"/>
    <w:rsid w:val="00DD5EC7"/>
    <w:rsid w:val="00DD5F0E"/>
    <w:rsid w:val="00DD6B7B"/>
    <w:rsid w:val="00DD6BCC"/>
    <w:rsid w:val="00DD6FA6"/>
    <w:rsid w:val="00DD7C99"/>
    <w:rsid w:val="00DE0A4B"/>
    <w:rsid w:val="00DE10E7"/>
    <w:rsid w:val="00DE2410"/>
    <w:rsid w:val="00DE2939"/>
    <w:rsid w:val="00DE57BC"/>
    <w:rsid w:val="00DE6E81"/>
    <w:rsid w:val="00DE703F"/>
    <w:rsid w:val="00DE7595"/>
    <w:rsid w:val="00DE7C3E"/>
    <w:rsid w:val="00DF1961"/>
    <w:rsid w:val="00DF4041"/>
    <w:rsid w:val="00DF44DE"/>
    <w:rsid w:val="00DF44E5"/>
    <w:rsid w:val="00DF4D00"/>
    <w:rsid w:val="00DF5AE1"/>
    <w:rsid w:val="00DF5F11"/>
    <w:rsid w:val="00E00ACC"/>
    <w:rsid w:val="00E00E96"/>
    <w:rsid w:val="00E01138"/>
    <w:rsid w:val="00E02DFB"/>
    <w:rsid w:val="00E030F9"/>
    <w:rsid w:val="00E0311A"/>
    <w:rsid w:val="00E03138"/>
    <w:rsid w:val="00E049B8"/>
    <w:rsid w:val="00E06404"/>
    <w:rsid w:val="00E065D2"/>
    <w:rsid w:val="00E11A85"/>
    <w:rsid w:val="00E12495"/>
    <w:rsid w:val="00E13551"/>
    <w:rsid w:val="00E143FC"/>
    <w:rsid w:val="00E15CCD"/>
    <w:rsid w:val="00E175EB"/>
    <w:rsid w:val="00E17B20"/>
    <w:rsid w:val="00E202EF"/>
    <w:rsid w:val="00E210B5"/>
    <w:rsid w:val="00E22B03"/>
    <w:rsid w:val="00E23D99"/>
    <w:rsid w:val="00E242AA"/>
    <w:rsid w:val="00E243E3"/>
    <w:rsid w:val="00E2552F"/>
    <w:rsid w:val="00E305F8"/>
    <w:rsid w:val="00E3137A"/>
    <w:rsid w:val="00E32757"/>
    <w:rsid w:val="00E32CCF"/>
    <w:rsid w:val="00E34A98"/>
    <w:rsid w:val="00E34E41"/>
    <w:rsid w:val="00E35D1E"/>
    <w:rsid w:val="00E35E3C"/>
    <w:rsid w:val="00E364F9"/>
    <w:rsid w:val="00E365FA"/>
    <w:rsid w:val="00E36789"/>
    <w:rsid w:val="00E37473"/>
    <w:rsid w:val="00E41AB2"/>
    <w:rsid w:val="00E4239E"/>
    <w:rsid w:val="00E44A83"/>
    <w:rsid w:val="00E47410"/>
    <w:rsid w:val="00E478F9"/>
    <w:rsid w:val="00E502C1"/>
    <w:rsid w:val="00E502DD"/>
    <w:rsid w:val="00E50A97"/>
    <w:rsid w:val="00E50D3A"/>
    <w:rsid w:val="00E51387"/>
    <w:rsid w:val="00E51E68"/>
    <w:rsid w:val="00E52BB2"/>
    <w:rsid w:val="00E52EFD"/>
    <w:rsid w:val="00E5408A"/>
    <w:rsid w:val="00E5463E"/>
    <w:rsid w:val="00E54D59"/>
    <w:rsid w:val="00E5537A"/>
    <w:rsid w:val="00E5592D"/>
    <w:rsid w:val="00E56800"/>
    <w:rsid w:val="00E57912"/>
    <w:rsid w:val="00E60C63"/>
    <w:rsid w:val="00E61261"/>
    <w:rsid w:val="00E615E8"/>
    <w:rsid w:val="00E62007"/>
    <w:rsid w:val="00E62AEA"/>
    <w:rsid w:val="00E62FF9"/>
    <w:rsid w:val="00E635D6"/>
    <w:rsid w:val="00E63901"/>
    <w:rsid w:val="00E639BC"/>
    <w:rsid w:val="00E63C13"/>
    <w:rsid w:val="00E664CC"/>
    <w:rsid w:val="00E67C97"/>
    <w:rsid w:val="00E67E02"/>
    <w:rsid w:val="00E70388"/>
    <w:rsid w:val="00E70A5E"/>
    <w:rsid w:val="00E70F92"/>
    <w:rsid w:val="00E73222"/>
    <w:rsid w:val="00E74229"/>
    <w:rsid w:val="00E74C54"/>
    <w:rsid w:val="00E74CCD"/>
    <w:rsid w:val="00E75C21"/>
    <w:rsid w:val="00E77A03"/>
    <w:rsid w:val="00E80FA9"/>
    <w:rsid w:val="00E822E8"/>
    <w:rsid w:val="00E82554"/>
    <w:rsid w:val="00E82606"/>
    <w:rsid w:val="00E82736"/>
    <w:rsid w:val="00E8311F"/>
    <w:rsid w:val="00E84209"/>
    <w:rsid w:val="00E846C8"/>
    <w:rsid w:val="00E84957"/>
    <w:rsid w:val="00E84A55"/>
    <w:rsid w:val="00E85BFF"/>
    <w:rsid w:val="00E85EDD"/>
    <w:rsid w:val="00E87A4A"/>
    <w:rsid w:val="00E90391"/>
    <w:rsid w:val="00E906C2"/>
    <w:rsid w:val="00E9311F"/>
    <w:rsid w:val="00E934D1"/>
    <w:rsid w:val="00E94AF0"/>
    <w:rsid w:val="00E95761"/>
    <w:rsid w:val="00E95D13"/>
    <w:rsid w:val="00E95DD3"/>
    <w:rsid w:val="00E969D5"/>
    <w:rsid w:val="00EA1B30"/>
    <w:rsid w:val="00EA1B7F"/>
    <w:rsid w:val="00EA1CDA"/>
    <w:rsid w:val="00EA3453"/>
    <w:rsid w:val="00EA3AE4"/>
    <w:rsid w:val="00EA4B26"/>
    <w:rsid w:val="00EA58D1"/>
    <w:rsid w:val="00EA61BC"/>
    <w:rsid w:val="00EA681A"/>
    <w:rsid w:val="00EA6D4B"/>
    <w:rsid w:val="00EA735B"/>
    <w:rsid w:val="00EB0F6B"/>
    <w:rsid w:val="00EB128D"/>
    <w:rsid w:val="00EB17DE"/>
    <w:rsid w:val="00EB1E69"/>
    <w:rsid w:val="00EB2086"/>
    <w:rsid w:val="00EB3F3C"/>
    <w:rsid w:val="00EB5EDF"/>
    <w:rsid w:val="00EB60FE"/>
    <w:rsid w:val="00EB74DB"/>
    <w:rsid w:val="00EC02AA"/>
    <w:rsid w:val="00EC3BFD"/>
    <w:rsid w:val="00EC48C6"/>
    <w:rsid w:val="00EC508C"/>
    <w:rsid w:val="00EC5359"/>
    <w:rsid w:val="00EC562A"/>
    <w:rsid w:val="00EC67A8"/>
    <w:rsid w:val="00EC6DB1"/>
    <w:rsid w:val="00ED067A"/>
    <w:rsid w:val="00ED27EF"/>
    <w:rsid w:val="00ED2B50"/>
    <w:rsid w:val="00ED5366"/>
    <w:rsid w:val="00ED644D"/>
    <w:rsid w:val="00ED7FF5"/>
    <w:rsid w:val="00EE0350"/>
    <w:rsid w:val="00EE0719"/>
    <w:rsid w:val="00EE0E80"/>
    <w:rsid w:val="00EE2CD7"/>
    <w:rsid w:val="00EE330C"/>
    <w:rsid w:val="00EE4E75"/>
    <w:rsid w:val="00EE54A6"/>
    <w:rsid w:val="00EE58E5"/>
    <w:rsid w:val="00EE613F"/>
    <w:rsid w:val="00EE7295"/>
    <w:rsid w:val="00EE7869"/>
    <w:rsid w:val="00EE7C8F"/>
    <w:rsid w:val="00EF054A"/>
    <w:rsid w:val="00EF22C8"/>
    <w:rsid w:val="00EF3235"/>
    <w:rsid w:val="00EF7E72"/>
    <w:rsid w:val="00F0219E"/>
    <w:rsid w:val="00F02B08"/>
    <w:rsid w:val="00F03D24"/>
    <w:rsid w:val="00F0440E"/>
    <w:rsid w:val="00F044B7"/>
    <w:rsid w:val="00F04995"/>
    <w:rsid w:val="00F06B97"/>
    <w:rsid w:val="00F06CB7"/>
    <w:rsid w:val="00F06D37"/>
    <w:rsid w:val="00F07B9D"/>
    <w:rsid w:val="00F1032F"/>
    <w:rsid w:val="00F112DF"/>
    <w:rsid w:val="00F11586"/>
    <w:rsid w:val="00F1183B"/>
    <w:rsid w:val="00F11C9F"/>
    <w:rsid w:val="00F12263"/>
    <w:rsid w:val="00F12303"/>
    <w:rsid w:val="00F1238D"/>
    <w:rsid w:val="00F132A8"/>
    <w:rsid w:val="00F1409D"/>
    <w:rsid w:val="00F14214"/>
    <w:rsid w:val="00F147B8"/>
    <w:rsid w:val="00F157A9"/>
    <w:rsid w:val="00F16F80"/>
    <w:rsid w:val="00F20369"/>
    <w:rsid w:val="00F219F2"/>
    <w:rsid w:val="00F233B1"/>
    <w:rsid w:val="00F24367"/>
    <w:rsid w:val="00F24AC0"/>
    <w:rsid w:val="00F24AED"/>
    <w:rsid w:val="00F25BB6"/>
    <w:rsid w:val="00F25D10"/>
    <w:rsid w:val="00F26A71"/>
    <w:rsid w:val="00F26B7E"/>
    <w:rsid w:val="00F27A3B"/>
    <w:rsid w:val="00F30C87"/>
    <w:rsid w:val="00F33817"/>
    <w:rsid w:val="00F354DA"/>
    <w:rsid w:val="00F366E8"/>
    <w:rsid w:val="00F378F2"/>
    <w:rsid w:val="00F4150C"/>
    <w:rsid w:val="00F4182F"/>
    <w:rsid w:val="00F420D5"/>
    <w:rsid w:val="00F44C71"/>
    <w:rsid w:val="00F451EA"/>
    <w:rsid w:val="00F4521D"/>
    <w:rsid w:val="00F45447"/>
    <w:rsid w:val="00F456C6"/>
    <w:rsid w:val="00F4577B"/>
    <w:rsid w:val="00F46496"/>
    <w:rsid w:val="00F474D0"/>
    <w:rsid w:val="00F50179"/>
    <w:rsid w:val="00F515EE"/>
    <w:rsid w:val="00F53B3D"/>
    <w:rsid w:val="00F56511"/>
    <w:rsid w:val="00F57993"/>
    <w:rsid w:val="00F6194E"/>
    <w:rsid w:val="00F61FB8"/>
    <w:rsid w:val="00F61FEC"/>
    <w:rsid w:val="00F623AC"/>
    <w:rsid w:val="00F632F0"/>
    <w:rsid w:val="00F6412A"/>
    <w:rsid w:val="00F65893"/>
    <w:rsid w:val="00F658C9"/>
    <w:rsid w:val="00F65925"/>
    <w:rsid w:val="00F66317"/>
    <w:rsid w:val="00F66A4A"/>
    <w:rsid w:val="00F67327"/>
    <w:rsid w:val="00F67911"/>
    <w:rsid w:val="00F71E22"/>
    <w:rsid w:val="00F72142"/>
    <w:rsid w:val="00F72AE7"/>
    <w:rsid w:val="00F7518A"/>
    <w:rsid w:val="00F76B90"/>
    <w:rsid w:val="00F76C3B"/>
    <w:rsid w:val="00F81141"/>
    <w:rsid w:val="00F81F32"/>
    <w:rsid w:val="00F82389"/>
    <w:rsid w:val="00F8262F"/>
    <w:rsid w:val="00F833BA"/>
    <w:rsid w:val="00F84898"/>
    <w:rsid w:val="00F84FD0"/>
    <w:rsid w:val="00F85803"/>
    <w:rsid w:val="00F859A8"/>
    <w:rsid w:val="00F85B84"/>
    <w:rsid w:val="00F86D87"/>
    <w:rsid w:val="00F90AC3"/>
    <w:rsid w:val="00F9108B"/>
    <w:rsid w:val="00F91349"/>
    <w:rsid w:val="00F92B65"/>
    <w:rsid w:val="00F93A8A"/>
    <w:rsid w:val="00F95248"/>
    <w:rsid w:val="00F956A9"/>
    <w:rsid w:val="00F963ED"/>
    <w:rsid w:val="00F966CF"/>
    <w:rsid w:val="00F96CAE"/>
    <w:rsid w:val="00F973F9"/>
    <w:rsid w:val="00F97C99"/>
    <w:rsid w:val="00FA152E"/>
    <w:rsid w:val="00FA17C4"/>
    <w:rsid w:val="00FA2A35"/>
    <w:rsid w:val="00FA4283"/>
    <w:rsid w:val="00FA42D7"/>
    <w:rsid w:val="00FA4DAC"/>
    <w:rsid w:val="00FA4E9D"/>
    <w:rsid w:val="00FA6521"/>
    <w:rsid w:val="00FA662D"/>
    <w:rsid w:val="00FA73B1"/>
    <w:rsid w:val="00FB0CB9"/>
    <w:rsid w:val="00FB231D"/>
    <w:rsid w:val="00FB2FC2"/>
    <w:rsid w:val="00FB45F1"/>
    <w:rsid w:val="00FB4A72"/>
    <w:rsid w:val="00FB54E8"/>
    <w:rsid w:val="00FB55D6"/>
    <w:rsid w:val="00FB6C4E"/>
    <w:rsid w:val="00FB7054"/>
    <w:rsid w:val="00FC17B7"/>
    <w:rsid w:val="00FC2CB7"/>
    <w:rsid w:val="00FC30B5"/>
    <w:rsid w:val="00FC4090"/>
    <w:rsid w:val="00FC4940"/>
    <w:rsid w:val="00FC4C6F"/>
    <w:rsid w:val="00FC55B4"/>
    <w:rsid w:val="00FC5D9E"/>
    <w:rsid w:val="00FC6D8E"/>
    <w:rsid w:val="00FD00E6"/>
    <w:rsid w:val="00FD09A1"/>
    <w:rsid w:val="00FD18B8"/>
    <w:rsid w:val="00FD22A0"/>
    <w:rsid w:val="00FD2A7C"/>
    <w:rsid w:val="00FD332D"/>
    <w:rsid w:val="00FD59EB"/>
    <w:rsid w:val="00FD6313"/>
    <w:rsid w:val="00FD7299"/>
    <w:rsid w:val="00FE04EC"/>
    <w:rsid w:val="00FE15BB"/>
    <w:rsid w:val="00FE1FBE"/>
    <w:rsid w:val="00FE2BB0"/>
    <w:rsid w:val="00FE3901"/>
    <w:rsid w:val="00FE39D3"/>
    <w:rsid w:val="00FE3E48"/>
    <w:rsid w:val="00FE4BCE"/>
    <w:rsid w:val="00FE54AE"/>
    <w:rsid w:val="00FE576A"/>
    <w:rsid w:val="00FE5A03"/>
    <w:rsid w:val="00FE7E79"/>
    <w:rsid w:val="00FF0143"/>
    <w:rsid w:val="00FF23B5"/>
    <w:rsid w:val="00FF2AF1"/>
    <w:rsid w:val="00FF2E13"/>
    <w:rsid w:val="00FF34BA"/>
    <w:rsid w:val="00FF3E7D"/>
    <w:rsid w:val="00FF5B99"/>
    <w:rsid w:val="00FF730C"/>
    <w:rsid w:val="00FF73F4"/>
    <w:rsid w:val="00FF7CE4"/>
    <w:rsid w:val="00FF7E39"/>
    <w:rsid w:val="01944C87"/>
    <w:rsid w:val="02E31B19"/>
    <w:rsid w:val="051110A9"/>
    <w:rsid w:val="05CC10AE"/>
    <w:rsid w:val="05EA3B51"/>
    <w:rsid w:val="0706070F"/>
    <w:rsid w:val="072F0E7C"/>
    <w:rsid w:val="079A5898"/>
    <w:rsid w:val="07DE071F"/>
    <w:rsid w:val="0975244B"/>
    <w:rsid w:val="0ABD75ED"/>
    <w:rsid w:val="0BA209C3"/>
    <w:rsid w:val="0D8C6527"/>
    <w:rsid w:val="111519C1"/>
    <w:rsid w:val="116620A3"/>
    <w:rsid w:val="119B7907"/>
    <w:rsid w:val="12777E3A"/>
    <w:rsid w:val="133741F4"/>
    <w:rsid w:val="134B429F"/>
    <w:rsid w:val="143B6AD7"/>
    <w:rsid w:val="14966C57"/>
    <w:rsid w:val="176F73BC"/>
    <w:rsid w:val="18004FE2"/>
    <w:rsid w:val="195150A8"/>
    <w:rsid w:val="19642C8D"/>
    <w:rsid w:val="19E017F8"/>
    <w:rsid w:val="1A9A0929"/>
    <w:rsid w:val="1BC2639E"/>
    <w:rsid w:val="1DFF1130"/>
    <w:rsid w:val="1EC74998"/>
    <w:rsid w:val="1F78179F"/>
    <w:rsid w:val="1F9B2E3D"/>
    <w:rsid w:val="1FB50C3F"/>
    <w:rsid w:val="208A751F"/>
    <w:rsid w:val="20AD5AA2"/>
    <w:rsid w:val="21A40E30"/>
    <w:rsid w:val="249B3D5C"/>
    <w:rsid w:val="25CD0A04"/>
    <w:rsid w:val="260D5EB5"/>
    <w:rsid w:val="26473372"/>
    <w:rsid w:val="2648306C"/>
    <w:rsid w:val="264B3E99"/>
    <w:rsid w:val="270314EE"/>
    <w:rsid w:val="278C42E4"/>
    <w:rsid w:val="28604241"/>
    <w:rsid w:val="29370788"/>
    <w:rsid w:val="29437085"/>
    <w:rsid w:val="294F3FBB"/>
    <w:rsid w:val="2969352D"/>
    <w:rsid w:val="29850527"/>
    <w:rsid w:val="29F74D9B"/>
    <w:rsid w:val="2D221BAB"/>
    <w:rsid w:val="2E8D4B8C"/>
    <w:rsid w:val="2F032C39"/>
    <w:rsid w:val="2F3061C7"/>
    <w:rsid w:val="30A631A5"/>
    <w:rsid w:val="30AB2172"/>
    <w:rsid w:val="340C1FEC"/>
    <w:rsid w:val="37213107"/>
    <w:rsid w:val="378066C4"/>
    <w:rsid w:val="38A4388B"/>
    <w:rsid w:val="39827530"/>
    <w:rsid w:val="3ABE1A7F"/>
    <w:rsid w:val="3B3B5CBC"/>
    <w:rsid w:val="3B6E24F1"/>
    <w:rsid w:val="3BDF16CF"/>
    <w:rsid w:val="3BEE57C1"/>
    <w:rsid w:val="3C0C3F12"/>
    <w:rsid w:val="3D084DC8"/>
    <w:rsid w:val="3D607DDC"/>
    <w:rsid w:val="3F014743"/>
    <w:rsid w:val="3FA24559"/>
    <w:rsid w:val="40A83E19"/>
    <w:rsid w:val="40FF58AE"/>
    <w:rsid w:val="41D34149"/>
    <w:rsid w:val="41D85A5D"/>
    <w:rsid w:val="41F25471"/>
    <w:rsid w:val="422F551A"/>
    <w:rsid w:val="42563406"/>
    <w:rsid w:val="42A32C3E"/>
    <w:rsid w:val="43AA10F8"/>
    <w:rsid w:val="446737C2"/>
    <w:rsid w:val="46676599"/>
    <w:rsid w:val="48622664"/>
    <w:rsid w:val="48987D1D"/>
    <w:rsid w:val="48E3144D"/>
    <w:rsid w:val="49137521"/>
    <w:rsid w:val="49746212"/>
    <w:rsid w:val="4AE55890"/>
    <w:rsid w:val="4BC0573E"/>
    <w:rsid w:val="4D302450"/>
    <w:rsid w:val="4D7428BC"/>
    <w:rsid w:val="4E3176D4"/>
    <w:rsid w:val="4F1624CC"/>
    <w:rsid w:val="4FA44E86"/>
    <w:rsid w:val="50E53C19"/>
    <w:rsid w:val="51556929"/>
    <w:rsid w:val="537068DE"/>
    <w:rsid w:val="53DC762E"/>
    <w:rsid w:val="53E24FC5"/>
    <w:rsid w:val="53EA2853"/>
    <w:rsid w:val="55AA4F1D"/>
    <w:rsid w:val="56C67A1B"/>
    <w:rsid w:val="5842691F"/>
    <w:rsid w:val="596309B0"/>
    <w:rsid w:val="59AD5D45"/>
    <w:rsid w:val="59B36F7F"/>
    <w:rsid w:val="5BDC0C36"/>
    <w:rsid w:val="5C49211D"/>
    <w:rsid w:val="5E041DF2"/>
    <w:rsid w:val="5F9D1184"/>
    <w:rsid w:val="60AB57DB"/>
    <w:rsid w:val="62B76034"/>
    <w:rsid w:val="62FC4D2D"/>
    <w:rsid w:val="641B7C51"/>
    <w:rsid w:val="647F2D21"/>
    <w:rsid w:val="6671761F"/>
    <w:rsid w:val="671017B3"/>
    <w:rsid w:val="67D35829"/>
    <w:rsid w:val="680C6C6A"/>
    <w:rsid w:val="69B04A85"/>
    <w:rsid w:val="69EB2F9D"/>
    <w:rsid w:val="6A3A13C5"/>
    <w:rsid w:val="6AB15981"/>
    <w:rsid w:val="6BF319D8"/>
    <w:rsid w:val="6C177827"/>
    <w:rsid w:val="6CC81031"/>
    <w:rsid w:val="6D7C1236"/>
    <w:rsid w:val="6DC54099"/>
    <w:rsid w:val="6E0B298B"/>
    <w:rsid w:val="6E8F5C5B"/>
    <w:rsid w:val="70981A6F"/>
    <w:rsid w:val="70F17C42"/>
    <w:rsid w:val="713D39DF"/>
    <w:rsid w:val="715C755A"/>
    <w:rsid w:val="716B5826"/>
    <w:rsid w:val="72E259B1"/>
    <w:rsid w:val="74C548B4"/>
    <w:rsid w:val="758F24CA"/>
    <w:rsid w:val="783C143A"/>
    <w:rsid w:val="789F3691"/>
    <w:rsid w:val="797312BF"/>
    <w:rsid w:val="79764105"/>
    <w:rsid w:val="7AD223BB"/>
    <w:rsid w:val="7CD932CD"/>
    <w:rsid w:val="7DE86C4E"/>
    <w:rsid w:val="7E554742"/>
    <w:rsid w:val="7F377C83"/>
    <w:rsid w:val="7FF0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5"/>
    <w:next w:val="1"/>
    <w:link w:val="41"/>
    <w:qFormat/>
    <w:uiPriority w:val="0"/>
    <w:pPr>
      <w:keepNext/>
      <w:keepLines/>
      <w:spacing w:before="340" w:after="330" w:line="578" w:lineRule="auto"/>
      <w:outlineLvl w:val="0"/>
    </w:pPr>
    <w:rPr>
      <w:bCs/>
      <w:kern w:val="44"/>
      <w:szCs w:val="44"/>
    </w:rPr>
  </w:style>
  <w:style w:type="paragraph" w:styleId="7">
    <w:name w:val="heading 2"/>
    <w:basedOn w:val="8"/>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43"/>
    <w:qFormat/>
    <w:uiPriority w:val="0"/>
    <w:pPr>
      <w:keepNext/>
      <w:keepLines/>
      <w:spacing w:before="260" w:after="260" w:line="416" w:lineRule="auto"/>
      <w:outlineLvl w:val="2"/>
    </w:pPr>
    <w:rPr>
      <w:rFonts w:eastAsia="黑体"/>
      <w:bCs/>
      <w:szCs w:val="32"/>
    </w:rPr>
  </w:style>
  <w:style w:type="paragraph" w:styleId="10">
    <w:name w:val="heading 4"/>
    <w:basedOn w:val="1"/>
    <w:next w:val="1"/>
    <w:link w:val="44"/>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link w:val="45"/>
    <w:qFormat/>
    <w:uiPriority w:val="0"/>
    <w:pPr>
      <w:keepNext/>
      <w:keepLines/>
      <w:adjustRightInd/>
      <w:spacing w:before="280" w:after="290" w:line="376" w:lineRule="auto"/>
      <w:outlineLvl w:val="4"/>
    </w:pPr>
    <w:rPr>
      <w:b/>
      <w:bCs/>
      <w:sz w:val="28"/>
      <w:szCs w:val="28"/>
    </w:rPr>
  </w:style>
  <w:style w:type="paragraph" w:styleId="12">
    <w:name w:val="heading 6"/>
    <w:basedOn w:val="1"/>
    <w:next w:val="1"/>
    <w:link w:val="46"/>
    <w:qFormat/>
    <w:uiPriority w:val="0"/>
    <w:pPr>
      <w:keepNext/>
      <w:keepLines/>
      <w:adjustRightInd/>
      <w:spacing w:before="240" w:after="64" w:line="320" w:lineRule="auto"/>
      <w:outlineLvl w:val="5"/>
    </w:pPr>
    <w:rPr>
      <w:rFonts w:ascii="Arial" w:hAnsi="Arial" w:eastAsia="黑体"/>
      <w:b/>
      <w:bCs/>
      <w:sz w:val="24"/>
      <w:szCs w:val="24"/>
    </w:rPr>
  </w:style>
  <w:style w:type="paragraph" w:styleId="13">
    <w:name w:val="heading 7"/>
    <w:basedOn w:val="1"/>
    <w:next w:val="1"/>
    <w:link w:val="47"/>
    <w:qFormat/>
    <w:uiPriority w:val="0"/>
    <w:pPr>
      <w:keepNext/>
      <w:keepLines/>
      <w:adjustRightInd/>
      <w:spacing w:before="240" w:after="64" w:line="320" w:lineRule="auto"/>
      <w:outlineLvl w:val="6"/>
    </w:pPr>
    <w:rPr>
      <w:b/>
      <w:bCs/>
      <w:sz w:val="24"/>
      <w:szCs w:val="24"/>
    </w:rPr>
  </w:style>
  <w:style w:type="paragraph" w:styleId="14">
    <w:name w:val="heading 8"/>
    <w:basedOn w:val="1"/>
    <w:next w:val="1"/>
    <w:link w:val="48"/>
    <w:qFormat/>
    <w:uiPriority w:val="0"/>
    <w:pPr>
      <w:keepNext/>
      <w:keepLines/>
      <w:adjustRightInd/>
      <w:spacing w:before="240" w:after="64" w:line="320" w:lineRule="auto"/>
      <w:outlineLvl w:val="7"/>
    </w:pPr>
    <w:rPr>
      <w:rFonts w:ascii="Arial" w:hAnsi="Arial" w:eastAsia="黑体"/>
      <w:sz w:val="24"/>
      <w:szCs w:val="24"/>
    </w:rPr>
  </w:style>
  <w:style w:type="paragraph" w:styleId="15">
    <w:name w:val="heading 9"/>
    <w:basedOn w:val="1"/>
    <w:next w:val="1"/>
    <w:link w:val="49"/>
    <w:qFormat/>
    <w:uiPriority w:val="0"/>
    <w:pPr>
      <w:keepNext/>
      <w:keepLines/>
      <w:adjustRightInd/>
      <w:spacing w:before="240" w:after="64" w:line="320" w:lineRule="auto"/>
      <w:outlineLvl w:val="8"/>
    </w:pPr>
    <w:rPr>
      <w:rFonts w:ascii="Arial" w:hAnsi="Arial" w:eastAsia="黑体"/>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after="120"/>
      <w:ind w:left="420" w:leftChars="200"/>
    </w:pPr>
  </w:style>
  <w:style w:type="paragraph" w:customStyle="1" w:styleId="5">
    <w:name w:val="章标题"/>
    <w:next w:val="6"/>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6">
    <w:name w:val="段"/>
    <w:link w:val="2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8">
    <w:name w:val="Body Text Indent 2"/>
    <w:basedOn w:val="1"/>
    <w:qFormat/>
    <w:uiPriority w:val="0"/>
    <w:pPr>
      <w:ind w:firstLine="400" w:firstLineChars="200"/>
    </w:pPr>
    <w:rPr>
      <w:rFonts w:ascii="宋体"/>
      <w:sz w:val="20"/>
    </w:rPr>
  </w:style>
  <w:style w:type="paragraph" w:styleId="16">
    <w:name w:val="toc 7"/>
    <w:basedOn w:val="1"/>
    <w:next w:val="1"/>
    <w:unhideWhenUsed/>
    <w:qFormat/>
    <w:uiPriority w:val="39"/>
    <w:pPr>
      <w:tabs>
        <w:tab w:val="right" w:leader="dot" w:pos="9344"/>
      </w:tabs>
      <w:spacing w:line="300" w:lineRule="exact"/>
      <w:ind w:left="1259"/>
    </w:pPr>
    <w:rPr>
      <w:rFonts w:ascii="宋体"/>
    </w:rPr>
  </w:style>
  <w:style w:type="paragraph" w:styleId="17">
    <w:name w:val="Normal Indent"/>
    <w:basedOn w:val="1"/>
    <w:qFormat/>
    <w:uiPriority w:val="0"/>
    <w:pPr>
      <w:ind w:firstLine="420"/>
    </w:pPr>
  </w:style>
  <w:style w:type="paragraph" w:styleId="18">
    <w:name w:val="Document Map"/>
    <w:basedOn w:val="1"/>
    <w:link w:val="237"/>
    <w:semiHidden/>
    <w:unhideWhenUsed/>
    <w:qFormat/>
    <w:uiPriority w:val="99"/>
    <w:rPr>
      <w:rFonts w:ascii="宋体"/>
      <w:sz w:val="18"/>
      <w:szCs w:val="18"/>
    </w:rPr>
  </w:style>
  <w:style w:type="paragraph" w:styleId="19">
    <w:name w:val="Body Text"/>
    <w:basedOn w:val="1"/>
    <w:link w:val="93"/>
    <w:qFormat/>
    <w:uiPriority w:val="0"/>
    <w:pPr>
      <w:spacing w:after="120"/>
    </w:pPr>
  </w:style>
  <w:style w:type="paragraph" w:styleId="20">
    <w:name w:val="toc 5"/>
    <w:basedOn w:val="1"/>
    <w:next w:val="1"/>
    <w:unhideWhenUsed/>
    <w:qFormat/>
    <w:uiPriority w:val="39"/>
    <w:pPr>
      <w:ind w:left="839"/>
    </w:pPr>
    <w:rPr>
      <w:rFonts w:ascii="宋体"/>
    </w:rPr>
  </w:style>
  <w:style w:type="paragraph" w:styleId="21">
    <w:name w:val="toc 3"/>
    <w:basedOn w:val="1"/>
    <w:next w:val="1"/>
    <w:unhideWhenUsed/>
    <w:qFormat/>
    <w:uiPriority w:val="39"/>
    <w:pPr>
      <w:spacing w:line="300" w:lineRule="exact"/>
      <w:ind w:left="420"/>
    </w:pPr>
    <w:rPr>
      <w:rFonts w:ascii="宋体"/>
    </w:rPr>
  </w:style>
  <w:style w:type="paragraph" w:styleId="22">
    <w:name w:val="Balloon Text"/>
    <w:basedOn w:val="1"/>
    <w:link w:val="52"/>
    <w:semiHidden/>
    <w:unhideWhenUsed/>
    <w:qFormat/>
    <w:uiPriority w:val="99"/>
    <w:rPr>
      <w:sz w:val="18"/>
      <w:szCs w:val="18"/>
    </w:rPr>
  </w:style>
  <w:style w:type="paragraph" w:styleId="23">
    <w:name w:val="footer"/>
    <w:basedOn w:val="1"/>
    <w:link w:val="51"/>
    <w:qFormat/>
    <w:uiPriority w:val="99"/>
    <w:pPr>
      <w:tabs>
        <w:tab w:val="center" w:pos="4153"/>
        <w:tab w:val="right" w:pos="8306"/>
      </w:tabs>
      <w:adjustRightInd/>
      <w:snapToGrid w:val="0"/>
      <w:spacing w:line="240" w:lineRule="auto"/>
      <w:jc w:val="right"/>
    </w:pPr>
    <w:rPr>
      <w:rFonts w:ascii="宋体"/>
      <w:sz w:val="18"/>
      <w:szCs w:val="18"/>
    </w:rPr>
  </w:style>
  <w:style w:type="paragraph" w:styleId="24">
    <w:name w:val="header"/>
    <w:basedOn w:val="1"/>
    <w:link w:val="50"/>
    <w:qFormat/>
    <w:uiPriority w:val="99"/>
    <w:pPr>
      <w:tabs>
        <w:tab w:val="center" w:pos="4153"/>
        <w:tab w:val="right" w:pos="8306"/>
      </w:tabs>
      <w:adjustRightInd/>
      <w:snapToGrid w:val="0"/>
      <w:jc w:val="center"/>
    </w:pPr>
    <w:rPr>
      <w:sz w:val="18"/>
      <w:szCs w:val="18"/>
    </w:rPr>
  </w:style>
  <w:style w:type="paragraph" w:styleId="25">
    <w:name w:val="toc 1"/>
    <w:basedOn w:val="1"/>
    <w:next w:val="1"/>
    <w:unhideWhenUsed/>
    <w:qFormat/>
    <w:uiPriority w:val="39"/>
    <w:rPr>
      <w:rFonts w:ascii="宋体"/>
    </w:rPr>
  </w:style>
  <w:style w:type="paragraph" w:styleId="26">
    <w:name w:val="toc 4"/>
    <w:basedOn w:val="1"/>
    <w:next w:val="1"/>
    <w:unhideWhenUsed/>
    <w:qFormat/>
    <w:uiPriority w:val="39"/>
    <w:pPr>
      <w:tabs>
        <w:tab w:val="right" w:leader="dot" w:pos="9344"/>
      </w:tabs>
      <w:spacing w:line="300" w:lineRule="exact"/>
      <w:ind w:left="629"/>
    </w:pPr>
    <w:rPr>
      <w:rFonts w:ascii="宋体"/>
    </w:rPr>
  </w:style>
  <w:style w:type="paragraph" w:styleId="27">
    <w:name w:val="footnote text"/>
    <w:basedOn w:val="1"/>
    <w:next w:val="1"/>
    <w:link w:val="106"/>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8">
    <w:name w:val="toc 6"/>
    <w:basedOn w:val="1"/>
    <w:next w:val="1"/>
    <w:unhideWhenUsed/>
    <w:qFormat/>
    <w:uiPriority w:val="39"/>
    <w:pPr>
      <w:spacing w:line="300" w:lineRule="exact"/>
      <w:ind w:left="1049"/>
    </w:pPr>
    <w:rPr>
      <w:rFonts w:ascii="宋体"/>
    </w:rPr>
  </w:style>
  <w:style w:type="paragraph" w:styleId="29">
    <w:name w:val="table of figures"/>
    <w:basedOn w:val="1"/>
    <w:next w:val="1"/>
    <w:semiHidden/>
    <w:qFormat/>
    <w:uiPriority w:val="0"/>
    <w:pPr>
      <w:adjustRightInd/>
      <w:spacing w:line="240" w:lineRule="auto"/>
      <w:jc w:val="left"/>
    </w:pPr>
    <w:rPr>
      <w:szCs w:val="24"/>
    </w:rPr>
  </w:style>
  <w:style w:type="paragraph" w:styleId="30">
    <w:name w:val="toc 2"/>
    <w:basedOn w:val="1"/>
    <w:next w:val="1"/>
    <w:unhideWhenUsed/>
    <w:qFormat/>
    <w:uiPriority w:val="39"/>
    <w:pPr>
      <w:tabs>
        <w:tab w:val="right" w:leader="dot" w:pos="9344"/>
      </w:tabs>
      <w:spacing w:line="300" w:lineRule="exact"/>
      <w:ind w:left="210"/>
    </w:pPr>
    <w:rPr>
      <w:rFonts w:ascii="宋体"/>
    </w:rPr>
  </w:style>
  <w:style w:type="paragraph" w:styleId="31">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32">
    <w:name w:val="Title"/>
    <w:basedOn w:val="1"/>
    <w:link w:val="55"/>
    <w:qFormat/>
    <w:uiPriority w:val="0"/>
    <w:pPr>
      <w:spacing w:before="240" w:after="60"/>
      <w:jc w:val="center"/>
      <w:outlineLvl w:val="0"/>
    </w:pPr>
    <w:rPr>
      <w:rFonts w:ascii="Arial" w:hAnsi="Arial" w:cs="Arial"/>
      <w:b/>
      <w:bCs/>
      <w:sz w:val="32"/>
      <w:szCs w:val="32"/>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qFormat/>
    <w:uiPriority w:val="0"/>
    <w:rPr>
      <w:rFonts w:ascii="宋体" w:hAnsi="Times New Roman" w:eastAsia="宋体"/>
      <w:sz w:val="18"/>
    </w:rPr>
  </w:style>
  <w:style w:type="character" w:styleId="38">
    <w:name w:val="Emphasis"/>
    <w:qFormat/>
    <w:uiPriority w:val="20"/>
    <w:rPr>
      <w:i/>
      <w:iCs/>
    </w:rPr>
  </w:style>
  <w:style w:type="character" w:styleId="39">
    <w:name w:val="Hyperlink"/>
    <w:qFormat/>
    <w:uiPriority w:val="99"/>
    <w:rPr>
      <w:rFonts w:ascii="宋体" w:hAnsi="Times New Roman" w:eastAsia="宋体"/>
      <w:color w:val="auto"/>
      <w:spacing w:val="0"/>
      <w:w w:val="100"/>
      <w:position w:val="0"/>
      <w:sz w:val="21"/>
      <w:u w:val="none"/>
      <w:vertAlign w:val="baseline"/>
    </w:rPr>
  </w:style>
  <w:style w:type="character" w:styleId="40">
    <w:name w:val="footnote reference"/>
    <w:semiHidden/>
    <w:qFormat/>
    <w:uiPriority w:val="0"/>
    <w:rPr>
      <w:rFonts w:ascii="宋体" w:hAnsi="宋体" w:eastAsia="宋体" w:cs="Times New Roman"/>
      <w:spacing w:val="0"/>
      <w:sz w:val="18"/>
      <w:vertAlign w:val="superscript"/>
    </w:rPr>
  </w:style>
  <w:style w:type="character" w:customStyle="1" w:styleId="41">
    <w:name w:val="标题 1 字符"/>
    <w:link w:val="4"/>
    <w:qFormat/>
    <w:uiPriority w:val="0"/>
    <w:rPr>
      <w:rFonts w:eastAsia="黑体"/>
      <w:bCs/>
      <w:kern w:val="44"/>
      <w:sz w:val="21"/>
      <w:szCs w:val="44"/>
    </w:rPr>
  </w:style>
  <w:style w:type="character" w:customStyle="1" w:styleId="42">
    <w:name w:val="标题 2 字符"/>
    <w:link w:val="7"/>
    <w:qFormat/>
    <w:uiPriority w:val="0"/>
    <w:rPr>
      <w:rFonts w:ascii="Arial" w:hAnsi="Arial" w:eastAsia="黑体"/>
      <w:b/>
      <w:bCs/>
      <w:kern w:val="2"/>
      <w:sz w:val="32"/>
      <w:szCs w:val="32"/>
    </w:rPr>
  </w:style>
  <w:style w:type="character" w:customStyle="1" w:styleId="43">
    <w:name w:val="标题 3 字符"/>
    <w:link w:val="9"/>
    <w:qFormat/>
    <w:uiPriority w:val="0"/>
    <w:rPr>
      <w:rFonts w:eastAsia="黑体"/>
      <w:bCs/>
      <w:kern w:val="2"/>
      <w:sz w:val="21"/>
      <w:szCs w:val="32"/>
    </w:rPr>
  </w:style>
  <w:style w:type="character" w:customStyle="1" w:styleId="44">
    <w:name w:val="标题 4 字符"/>
    <w:link w:val="10"/>
    <w:qFormat/>
    <w:uiPriority w:val="0"/>
    <w:rPr>
      <w:rFonts w:ascii="Arial" w:hAnsi="Arial" w:eastAsia="黑体"/>
      <w:b/>
      <w:bCs/>
      <w:kern w:val="2"/>
      <w:sz w:val="28"/>
      <w:szCs w:val="28"/>
    </w:rPr>
  </w:style>
  <w:style w:type="character" w:customStyle="1" w:styleId="45">
    <w:name w:val="标题 5 字符"/>
    <w:link w:val="11"/>
    <w:qFormat/>
    <w:uiPriority w:val="0"/>
    <w:rPr>
      <w:b/>
      <w:bCs/>
      <w:kern w:val="2"/>
      <w:sz w:val="28"/>
      <w:szCs w:val="28"/>
    </w:rPr>
  </w:style>
  <w:style w:type="character" w:customStyle="1" w:styleId="46">
    <w:name w:val="标题 6 字符"/>
    <w:link w:val="12"/>
    <w:qFormat/>
    <w:uiPriority w:val="0"/>
    <w:rPr>
      <w:rFonts w:ascii="Arial" w:hAnsi="Arial" w:eastAsia="黑体"/>
      <w:b/>
      <w:bCs/>
      <w:kern w:val="2"/>
      <w:sz w:val="24"/>
      <w:szCs w:val="24"/>
    </w:rPr>
  </w:style>
  <w:style w:type="character" w:customStyle="1" w:styleId="47">
    <w:name w:val="标题 7 字符"/>
    <w:link w:val="13"/>
    <w:qFormat/>
    <w:uiPriority w:val="0"/>
    <w:rPr>
      <w:b/>
      <w:bCs/>
      <w:kern w:val="2"/>
      <w:sz w:val="24"/>
      <w:szCs w:val="24"/>
    </w:rPr>
  </w:style>
  <w:style w:type="character" w:customStyle="1" w:styleId="48">
    <w:name w:val="标题 8 字符"/>
    <w:link w:val="14"/>
    <w:qFormat/>
    <w:uiPriority w:val="0"/>
    <w:rPr>
      <w:rFonts w:ascii="Arial" w:hAnsi="Arial" w:eastAsia="黑体"/>
      <w:kern w:val="2"/>
      <w:sz w:val="24"/>
      <w:szCs w:val="24"/>
    </w:rPr>
  </w:style>
  <w:style w:type="character" w:customStyle="1" w:styleId="49">
    <w:name w:val="标题 9 字符"/>
    <w:link w:val="15"/>
    <w:qFormat/>
    <w:uiPriority w:val="0"/>
    <w:rPr>
      <w:rFonts w:ascii="Arial" w:hAnsi="Arial" w:eastAsia="黑体"/>
      <w:kern w:val="2"/>
      <w:sz w:val="21"/>
      <w:szCs w:val="21"/>
    </w:rPr>
  </w:style>
  <w:style w:type="character" w:customStyle="1" w:styleId="50">
    <w:name w:val="页眉 字符"/>
    <w:link w:val="24"/>
    <w:qFormat/>
    <w:uiPriority w:val="99"/>
    <w:rPr>
      <w:kern w:val="2"/>
      <w:sz w:val="18"/>
      <w:szCs w:val="18"/>
    </w:rPr>
  </w:style>
  <w:style w:type="character" w:customStyle="1" w:styleId="51">
    <w:name w:val="页脚 字符"/>
    <w:link w:val="23"/>
    <w:qFormat/>
    <w:uiPriority w:val="99"/>
    <w:rPr>
      <w:rFonts w:ascii="宋体"/>
      <w:kern w:val="2"/>
      <w:sz w:val="18"/>
      <w:szCs w:val="18"/>
    </w:rPr>
  </w:style>
  <w:style w:type="character" w:customStyle="1" w:styleId="52">
    <w:name w:val="批注框文本 字符"/>
    <w:link w:val="22"/>
    <w:semiHidden/>
    <w:qFormat/>
    <w:uiPriority w:val="99"/>
    <w:rPr>
      <w:kern w:val="2"/>
      <w:sz w:val="18"/>
      <w:szCs w:val="18"/>
    </w:rPr>
  </w:style>
  <w:style w:type="paragraph" w:styleId="53">
    <w:name w:val="Quote"/>
    <w:basedOn w:val="1"/>
    <w:next w:val="1"/>
    <w:link w:val="54"/>
    <w:qFormat/>
    <w:uiPriority w:val="29"/>
    <w:rPr>
      <w:i/>
      <w:iCs/>
      <w:color w:val="000000"/>
    </w:rPr>
  </w:style>
  <w:style w:type="character" w:customStyle="1" w:styleId="54">
    <w:name w:val="引用 字符"/>
    <w:link w:val="53"/>
    <w:qFormat/>
    <w:uiPriority w:val="29"/>
    <w:rPr>
      <w:i/>
      <w:iCs/>
      <w:color w:val="000000"/>
      <w:kern w:val="2"/>
      <w:sz w:val="21"/>
      <w:szCs w:val="21"/>
    </w:rPr>
  </w:style>
  <w:style w:type="character" w:customStyle="1" w:styleId="55">
    <w:name w:val="标题 字符"/>
    <w:link w:val="32"/>
    <w:qFormat/>
    <w:uiPriority w:val="0"/>
    <w:rPr>
      <w:rFonts w:ascii="Arial" w:hAnsi="Arial" w:cs="Arial"/>
      <w:b/>
      <w:bCs/>
      <w:kern w:val="2"/>
      <w:sz w:val="32"/>
      <w:szCs w:val="32"/>
    </w:rPr>
  </w:style>
  <w:style w:type="paragraph" w:customStyle="1" w:styleId="5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0">
    <w:name w:val="标准书眉一"/>
    <w:qFormat/>
    <w:uiPriority w:val="0"/>
    <w:pPr>
      <w:jc w:val="both"/>
    </w:pPr>
    <w:rPr>
      <w:rFonts w:ascii="Times New Roman" w:hAnsi="Times New Roman" w:eastAsia="宋体" w:cs="Times New Roman"/>
      <w:lang w:val="en-US" w:eastAsia="zh-CN" w:bidi="ar-SA"/>
    </w:rPr>
  </w:style>
  <w:style w:type="paragraph" w:customStyle="1" w:styleId="61">
    <w:name w:val="标准文件_ICS"/>
    <w:basedOn w:val="1"/>
    <w:qFormat/>
    <w:uiPriority w:val="0"/>
    <w:pPr>
      <w:spacing w:line="0" w:lineRule="atLeast"/>
    </w:pPr>
    <w:rPr>
      <w:rFonts w:ascii="黑体" w:hAnsi="宋体" w:eastAsia="黑体"/>
    </w:rPr>
  </w:style>
  <w:style w:type="paragraph" w:customStyle="1" w:styleId="62">
    <w:name w:val="标准文件_标准正文"/>
    <w:basedOn w:val="1"/>
    <w:next w:val="63"/>
    <w:qFormat/>
    <w:uiPriority w:val="0"/>
    <w:pPr>
      <w:snapToGrid w:val="0"/>
      <w:ind w:firstLine="200" w:firstLineChars="200"/>
    </w:pPr>
    <w:rPr>
      <w:kern w:val="0"/>
    </w:rPr>
  </w:style>
  <w:style w:type="paragraph" w:customStyle="1" w:styleId="63">
    <w:name w:val="标准文件_段"/>
    <w:link w:val="19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标准文件_版本"/>
    <w:basedOn w:val="62"/>
    <w:qFormat/>
    <w:uiPriority w:val="0"/>
    <w:pPr>
      <w:adjustRightInd/>
      <w:snapToGrid/>
      <w:ind w:firstLine="0" w:firstLineChars="0"/>
    </w:pPr>
    <w:rPr>
      <w:rFonts w:ascii="宋体" w:hAnsi="宋体"/>
      <w:kern w:val="2"/>
    </w:rPr>
  </w:style>
  <w:style w:type="paragraph" w:customStyle="1" w:styleId="65">
    <w:name w:val="标准文件_标准部门"/>
    <w:basedOn w:val="1"/>
    <w:qFormat/>
    <w:uiPriority w:val="0"/>
    <w:pPr>
      <w:jc w:val="center"/>
    </w:pPr>
    <w:rPr>
      <w:rFonts w:ascii="黑体" w:eastAsia="黑体"/>
      <w:kern w:val="0"/>
      <w:sz w:val="44"/>
    </w:rPr>
  </w:style>
  <w:style w:type="paragraph" w:customStyle="1" w:styleId="66">
    <w:name w:val="标准文件_标准代替"/>
    <w:basedOn w:val="1"/>
    <w:next w:val="1"/>
    <w:qFormat/>
    <w:uiPriority w:val="0"/>
    <w:pPr>
      <w:spacing w:line="310" w:lineRule="exact"/>
      <w:jc w:val="right"/>
    </w:pPr>
    <w:rPr>
      <w:rFonts w:ascii="宋体" w:hAnsi="宋体"/>
      <w:kern w:val="0"/>
    </w:rPr>
  </w:style>
  <w:style w:type="paragraph" w:customStyle="1" w:styleId="6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9">
    <w:name w:val="标准文件_页眉偶数页"/>
    <w:basedOn w:val="68"/>
    <w:next w:val="1"/>
    <w:qFormat/>
    <w:uiPriority w:val="0"/>
    <w:pPr>
      <w:jc w:val="left"/>
    </w:pPr>
  </w:style>
  <w:style w:type="paragraph" w:customStyle="1" w:styleId="70">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71">
    <w:name w:val="标准文件_参考文献条目"/>
    <w:qFormat/>
    <w:uiPriority w:val="0"/>
    <w:pPr>
      <w:numPr>
        <w:ilvl w:val="0"/>
        <w:numId w:val="2"/>
      </w:numPr>
    </w:pPr>
    <w:rPr>
      <w:rFonts w:ascii="宋体" w:hAnsi="Times New Roman" w:eastAsia="宋体" w:cs="Times New Roman"/>
      <w:lang w:val="en-US" w:eastAsia="zh-CN" w:bidi="ar-SA"/>
    </w:rPr>
  </w:style>
  <w:style w:type="paragraph" w:customStyle="1" w:styleId="72">
    <w:name w:val="标准文件_二级条标题"/>
    <w:next w:val="63"/>
    <w:qFormat/>
    <w:uiPriority w:val="0"/>
    <w:pPr>
      <w:widowControl w:val="0"/>
      <w:spacing w:beforeLines="50" w:afterLines="50"/>
      <w:jc w:val="both"/>
      <w:outlineLvl w:val="2"/>
    </w:pPr>
    <w:rPr>
      <w:rFonts w:ascii="黑体" w:hAnsi="Times New Roman" w:eastAsia="黑体" w:cs="Times New Roman"/>
      <w:sz w:val="21"/>
      <w:lang w:val="en-US" w:eastAsia="zh-CN" w:bidi="ar-SA"/>
    </w:rPr>
  </w:style>
  <w:style w:type="character" w:customStyle="1" w:styleId="73">
    <w:name w:val="标准文件_发布"/>
    <w:qFormat/>
    <w:uiPriority w:val="0"/>
    <w:rPr>
      <w:rFonts w:ascii="黑体" w:eastAsia="黑体"/>
      <w:spacing w:val="0"/>
      <w:w w:val="100"/>
      <w:position w:val="3"/>
      <w:sz w:val="28"/>
    </w:rPr>
  </w:style>
  <w:style w:type="paragraph" w:customStyle="1" w:styleId="74">
    <w:name w:val="标准文件_方框数字列项"/>
    <w:basedOn w:val="63"/>
    <w:qFormat/>
    <w:uiPriority w:val="0"/>
    <w:pPr>
      <w:numPr>
        <w:ilvl w:val="0"/>
        <w:numId w:val="3"/>
      </w:numPr>
      <w:ind w:firstLine="0" w:firstLineChars="0"/>
    </w:pPr>
  </w:style>
  <w:style w:type="paragraph" w:customStyle="1" w:styleId="75">
    <w:name w:val="标准文件_封面标准编号"/>
    <w:basedOn w:val="1"/>
    <w:next w:val="66"/>
    <w:qFormat/>
    <w:uiPriority w:val="0"/>
    <w:pPr>
      <w:spacing w:line="310" w:lineRule="exact"/>
      <w:jc w:val="right"/>
    </w:pPr>
    <w:rPr>
      <w:rFonts w:ascii="黑体" w:eastAsia="黑体"/>
      <w:kern w:val="0"/>
      <w:sz w:val="28"/>
    </w:rPr>
  </w:style>
  <w:style w:type="paragraph" w:customStyle="1" w:styleId="76">
    <w:name w:val="标准文件_封面标准分类号"/>
    <w:basedOn w:val="1"/>
    <w:qFormat/>
    <w:uiPriority w:val="0"/>
    <w:rPr>
      <w:rFonts w:ascii="黑体" w:eastAsia="黑体"/>
      <w:b/>
      <w:kern w:val="0"/>
      <w:sz w:val="28"/>
    </w:rPr>
  </w:style>
  <w:style w:type="paragraph" w:customStyle="1" w:styleId="77">
    <w:name w:val="标准文件_封面标准名称"/>
    <w:basedOn w:val="1"/>
    <w:qFormat/>
    <w:uiPriority w:val="0"/>
    <w:pPr>
      <w:spacing w:line="240" w:lineRule="auto"/>
      <w:jc w:val="center"/>
    </w:pPr>
    <w:rPr>
      <w:rFonts w:ascii="黑体" w:eastAsia="黑体"/>
      <w:kern w:val="0"/>
      <w:sz w:val="52"/>
    </w:rPr>
  </w:style>
  <w:style w:type="paragraph" w:customStyle="1" w:styleId="78">
    <w:name w:val="标准文件_封面标准英文名称"/>
    <w:basedOn w:val="1"/>
    <w:qFormat/>
    <w:uiPriority w:val="0"/>
    <w:pPr>
      <w:spacing w:line="240" w:lineRule="auto"/>
      <w:jc w:val="center"/>
    </w:pPr>
    <w:rPr>
      <w:rFonts w:ascii="黑体" w:eastAsia="黑体"/>
      <w:b/>
      <w:sz w:val="28"/>
    </w:rPr>
  </w:style>
  <w:style w:type="paragraph" w:customStyle="1" w:styleId="79">
    <w:name w:val="标准文件_封面发布日期"/>
    <w:basedOn w:val="1"/>
    <w:qFormat/>
    <w:uiPriority w:val="0"/>
    <w:pPr>
      <w:spacing w:line="310" w:lineRule="exact"/>
    </w:pPr>
    <w:rPr>
      <w:rFonts w:ascii="黑体" w:eastAsia="黑体"/>
      <w:kern w:val="0"/>
      <w:sz w:val="28"/>
    </w:rPr>
  </w:style>
  <w:style w:type="paragraph" w:customStyle="1" w:styleId="80">
    <w:name w:val="标准文件_封面密级"/>
    <w:basedOn w:val="1"/>
    <w:qFormat/>
    <w:uiPriority w:val="0"/>
    <w:rPr>
      <w:rFonts w:eastAsia="黑体"/>
      <w:sz w:val="32"/>
    </w:rPr>
  </w:style>
  <w:style w:type="paragraph" w:customStyle="1" w:styleId="81">
    <w:name w:val="标准文件_封面实施日期"/>
    <w:basedOn w:val="1"/>
    <w:qFormat/>
    <w:uiPriority w:val="0"/>
    <w:pPr>
      <w:spacing w:line="310" w:lineRule="exact"/>
      <w:jc w:val="right"/>
    </w:pPr>
    <w:rPr>
      <w:rFonts w:ascii="黑体" w:eastAsia="黑体"/>
      <w:sz w:val="28"/>
    </w:rPr>
  </w:style>
  <w:style w:type="paragraph" w:customStyle="1" w:styleId="82">
    <w:name w:val="标准文件_封面抬头"/>
    <w:basedOn w:val="63"/>
    <w:qFormat/>
    <w:uiPriority w:val="0"/>
    <w:pPr>
      <w:adjustRightInd w:val="0"/>
      <w:spacing w:line="800" w:lineRule="exact"/>
      <w:ind w:firstLine="0" w:firstLineChars="0"/>
      <w:jc w:val="distribute"/>
    </w:pPr>
    <w:rPr>
      <w:rFonts w:ascii="黑体" w:eastAsia="黑体"/>
      <w:b/>
      <w:sz w:val="64"/>
    </w:rPr>
  </w:style>
  <w:style w:type="paragraph" w:customStyle="1" w:styleId="83">
    <w:name w:val="标准文件_附录标识"/>
    <w:next w:val="63"/>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4">
    <w:name w:val="标准文件_附录表标题"/>
    <w:next w:val="63"/>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5">
    <w:name w:val="标准文件_附录一级条标题"/>
    <w:next w:val="63"/>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6">
    <w:name w:val="标准文件_附录二级条标题"/>
    <w:basedOn w:val="85"/>
    <w:next w:val="63"/>
    <w:qFormat/>
    <w:uiPriority w:val="0"/>
    <w:pPr>
      <w:widowControl/>
      <w:numPr>
        <w:ilvl w:val="2"/>
      </w:numPr>
      <w:wordWrap w:val="0"/>
      <w:overflowPunct w:val="0"/>
      <w:autoSpaceDE w:val="0"/>
      <w:autoSpaceDN w:val="0"/>
      <w:textAlignment w:val="baseline"/>
      <w:outlineLvl w:val="3"/>
    </w:pPr>
  </w:style>
  <w:style w:type="paragraph" w:customStyle="1" w:styleId="87">
    <w:name w:val="标准文件_附录公式"/>
    <w:basedOn w:val="62"/>
    <w:next w:val="6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8">
    <w:name w:val="标准文件_附录三级条标题"/>
    <w:next w:val="63"/>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9">
    <w:name w:val="标准文件_附录四级条标题"/>
    <w:next w:val="63"/>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0">
    <w:name w:val="标准文件_附录图标题"/>
    <w:next w:val="63"/>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91">
    <w:name w:val="标准文件_附录五级条标题"/>
    <w:next w:val="63"/>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2">
    <w:name w:val="标准文件_附录英文标识"/>
    <w:next w:val="19"/>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3">
    <w:name w:val="正文文本 字符"/>
    <w:link w:val="19"/>
    <w:qFormat/>
    <w:uiPriority w:val="0"/>
    <w:rPr>
      <w:kern w:val="2"/>
      <w:sz w:val="21"/>
      <w:szCs w:val="21"/>
    </w:rPr>
  </w:style>
  <w:style w:type="paragraph" w:customStyle="1" w:styleId="94">
    <w:name w:val="标准文件_附录章标题"/>
    <w:next w:val="6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标准文件_公式后的破折号"/>
    <w:basedOn w:val="63"/>
    <w:next w:val="63"/>
    <w:qFormat/>
    <w:uiPriority w:val="0"/>
    <w:pPr>
      <w:ind w:left="488" w:leftChars="200" w:hanging="289" w:hangingChars="290"/>
    </w:pPr>
  </w:style>
  <w:style w:type="paragraph" w:customStyle="1" w:styleId="96">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7">
    <w:name w:val="标准文件_目次、标准名称标题"/>
    <w:basedOn w:val="96"/>
    <w:next w:val="63"/>
    <w:qFormat/>
    <w:uiPriority w:val="0"/>
    <w:pPr>
      <w:spacing w:line="460" w:lineRule="exact"/>
      <w:ind w:left="0" w:firstLine="0"/>
    </w:pPr>
  </w:style>
  <w:style w:type="paragraph" w:customStyle="1" w:styleId="98">
    <w:name w:val="标准文件_目录标题"/>
    <w:basedOn w:val="1"/>
    <w:qFormat/>
    <w:uiPriority w:val="0"/>
    <w:pPr>
      <w:spacing w:before="480" w:afterLines="150" w:line="240" w:lineRule="auto"/>
      <w:jc w:val="center"/>
    </w:pPr>
    <w:rPr>
      <w:rFonts w:ascii="黑体" w:eastAsia="黑体"/>
      <w:sz w:val="32"/>
    </w:rPr>
  </w:style>
  <w:style w:type="paragraph" w:customStyle="1" w:styleId="99">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0">
    <w:name w:val="标准文件_破折号列项（二级）"/>
    <w:basedOn w:val="99"/>
    <w:qFormat/>
    <w:uiPriority w:val="0"/>
    <w:pPr>
      <w:numPr>
        <w:numId w:val="10"/>
      </w:numPr>
    </w:pPr>
  </w:style>
  <w:style w:type="paragraph" w:customStyle="1" w:styleId="101">
    <w:name w:val="标准文件_三级条标题"/>
    <w:basedOn w:val="72"/>
    <w:next w:val="63"/>
    <w:qFormat/>
    <w:uiPriority w:val="0"/>
    <w:pPr>
      <w:widowControl/>
      <w:outlineLvl w:val="3"/>
    </w:pPr>
  </w:style>
  <w:style w:type="character" w:customStyle="1" w:styleId="102">
    <w:name w:val="不明显参考1"/>
    <w:qFormat/>
    <w:uiPriority w:val="31"/>
    <w:rPr>
      <w:smallCaps/>
      <w:color w:val="C0504D"/>
      <w:u w:val="single"/>
    </w:rPr>
  </w:style>
  <w:style w:type="paragraph" w:customStyle="1" w:styleId="103">
    <w:name w:val="标准文件_示例后续"/>
    <w:basedOn w:val="1"/>
    <w:qFormat/>
    <w:uiPriority w:val="0"/>
    <w:pPr>
      <w:adjustRightInd/>
      <w:spacing w:line="240" w:lineRule="auto"/>
      <w:ind w:firstLine="200" w:firstLineChars="200"/>
    </w:pPr>
    <w:rPr>
      <w:sz w:val="18"/>
      <w:szCs w:val="24"/>
    </w:rPr>
  </w:style>
  <w:style w:type="paragraph" w:customStyle="1" w:styleId="104">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5">
    <w:name w:val="标准文件_四级条标题"/>
    <w:next w:val="63"/>
    <w:qFormat/>
    <w:uiPriority w:val="0"/>
    <w:pPr>
      <w:widowControl w:val="0"/>
      <w:spacing w:beforeLines="50" w:afterLines="50"/>
      <w:jc w:val="both"/>
      <w:outlineLvl w:val="4"/>
    </w:pPr>
    <w:rPr>
      <w:rFonts w:ascii="黑体" w:hAnsi="Times New Roman" w:eastAsia="黑体" w:cs="Times New Roman"/>
      <w:sz w:val="21"/>
      <w:lang w:val="en-US" w:eastAsia="zh-CN" w:bidi="ar-SA"/>
    </w:rPr>
  </w:style>
  <w:style w:type="character" w:customStyle="1" w:styleId="106">
    <w:name w:val="脚注文本 字符"/>
    <w:link w:val="27"/>
    <w:semiHidden/>
    <w:qFormat/>
    <w:uiPriority w:val="0"/>
    <w:rPr>
      <w:rFonts w:ascii="宋体"/>
      <w:kern w:val="2"/>
      <w:sz w:val="18"/>
      <w:szCs w:val="18"/>
    </w:rPr>
  </w:style>
  <w:style w:type="paragraph" w:customStyle="1" w:styleId="107">
    <w:name w:val="标准文件_条文脚注"/>
    <w:basedOn w:val="27"/>
    <w:qFormat/>
    <w:uiPriority w:val="0"/>
    <w:pPr>
      <w:adjustRightInd w:val="0"/>
      <w:spacing w:line="240" w:lineRule="auto"/>
      <w:ind w:left="0" w:leftChars="0" w:firstLine="200" w:firstLineChars="200"/>
      <w:jc w:val="both"/>
    </w:pPr>
    <w:rPr>
      <w:rFonts w:hAnsi="宋体"/>
    </w:rPr>
  </w:style>
  <w:style w:type="paragraph" w:customStyle="1" w:styleId="108">
    <w:name w:val="标准文件_图表脚注"/>
    <w:basedOn w:val="1"/>
    <w:next w:val="63"/>
    <w:qFormat/>
    <w:uiPriority w:val="0"/>
    <w:pPr>
      <w:numPr>
        <w:ilvl w:val="0"/>
        <w:numId w:val="12"/>
      </w:numPr>
      <w:spacing w:line="240" w:lineRule="auto"/>
      <w:jc w:val="left"/>
    </w:pPr>
    <w:rPr>
      <w:rFonts w:ascii="宋体" w:hAnsi="宋体"/>
      <w:sz w:val="18"/>
    </w:rPr>
  </w:style>
  <w:style w:type="character" w:customStyle="1" w:styleId="109">
    <w:name w:val="标准文件_图表脚注内容"/>
    <w:qFormat/>
    <w:uiPriority w:val="0"/>
    <w:rPr>
      <w:rFonts w:ascii="宋体" w:hAnsi="宋体" w:eastAsia="宋体" w:cs="Times New Roman"/>
      <w:spacing w:val="0"/>
      <w:sz w:val="18"/>
      <w:vertAlign w:val="superscript"/>
    </w:rPr>
  </w:style>
  <w:style w:type="paragraph" w:customStyle="1" w:styleId="110">
    <w:name w:val="标准文件_五级条标题"/>
    <w:next w:val="63"/>
    <w:qFormat/>
    <w:uiPriority w:val="0"/>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111">
    <w:name w:val="标准文件_章标题"/>
    <w:next w:val="63"/>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112">
    <w:name w:val="标准文件_一级条标题"/>
    <w:basedOn w:val="111"/>
    <w:next w:val="63"/>
    <w:qFormat/>
    <w:uiPriority w:val="0"/>
    <w:pPr>
      <w:spacing w:beforeLines="50" w:afterLines="50"/>
      <w:outlineLvl w:val="1"/>
    </w:pPr>
  </w:style>
  <w:style w:type="paragraph" w:customStyle="1" w:styleId="113">
    <w:name w:val="标准文件_一致程度"/>
    <w:basedOn w:val="1"/>
    <w:qFormat/>
    <w:uiPriority w:val="0"/>
    <w:pPr>
      <w:spacing w:line="440" w:lineRule="exact"/>
      <w:jc w:val="center"/>
    </w:pPr>
    <w:rPr>
      <w:sz w:val="28"/>
    </w:rPr>
  </w:style>
  <w:style w:type="paragraph" w:customStyle="1" w:styleId="114">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5">
    <w:name w:val="标准文件_英文图表脚注"/>
    <w:basedOn w:val="62"/>
    <w:qFormat/>
    <w:uiPriority w:val="0"/>
    <w:pPr>
      <w:widowControl/>
      <w:adjustRightInd/>
      <w:snapToGrid/>
      <w:spacing w:line="240" w:lineRule="auto"/>
      <w:ind w:left="79" w:hanging="79" w:hangingChars="80"/>
    </w:pPr>
    <w:rPr>
      <w:rFonts w:ascii="宋体" w:hAnsi="宋体"/>
    </w:rPr>
  </w:style>
  <w:style w:type="paragraph" w:customStyle="1" w:styleId="116">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7">
    <w:name w:val="标准文件_英文注："/>
    <w:basedOn w:val="1"/>
    <w:next w:val="63"/>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8">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9">
    <w:name w:val="标准文件_正文表标题"/>
    <w:next w:val="63"/>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公式"/>
    <w:basedOn w:val="1"/>
    <w:next w:val="62"/>
    <w:qFormat/>
    <w:uiPriority w:val="0"/>
    <w:pPr>
      <w:tabs>
        <w:tab w:val="center" w:pos="4678"/>
        <w:tab w:val="right" w:leader="middleDot" w:pos="9356"/>
      </w:tabs>
      <w:spacing w:line="240" w:lineRule="auto"/>
    </w:pPr>
    <w:rPr>
      <w:rFonts w:ascii="宋体" w:hAnsi="宋体"/>
    </w:rPr>
  </w:style>
  <w:style w:type="paragraph" w:customStyle="1" w:styleId="121">
    <w:name w:val="标准文件_正文图标题"/>
    <w:next w:val="63"/>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2">
    <w:name w:val="标准文件_正文英文表标题"/>
    <w:next w:val="63"/>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3">
    <w:name w:val="标准文件_正文英文图标题"/>
    <w:next w:val="63"/>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4">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5">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6">
    <w:name w:val="发布部门"/>
    <w:next w:val="6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8">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2">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3">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4">
    <w:name w:val="封面正文"/>
    <w:qFormat/>
    <w:uiPriority w:val="0"/>
    <w:pPr>
      <w:jc w:val="both"/>
    </w:pPr>
    <w:rPr>
      <w:rFonts w:ascii="Times New Roman" w:hAnsi="Times New Roman" w:eastAsia="宋体" w:cs="Times New Roman"/>
      <w:lang w:val="en-US" w:eastAsia="zh-CN" w:bidi="ar-SA"/>
    </w:rPr>
  </w:style>
  <w:style w:type="paragraph" w:customStyle="1" w:styleId="135">
    <w:name w:val="附录二级无标题条"/>
    <w:basedOn w:val="1"/>
    <w:next w:val="63"/>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6">
    <w:name w:val="附录三级无标题条"/>
    <w:basedOn w:val="135"/>
    <w:next w:val="63"/>
    <w:qFormat/>
    <w:uiPriority w:val="0"/>
    <w:pPr>
      <w:outlineLvl w:val="4"/>
    </w:pPr>
  </w:style>
  <w:style w:type="paragraph" w:customStyle="1" w:styleId="137">
    <w:name w:val="附录四级无标题条"/>
    <w:basedOn w:val="136"/>
    <w:next w:val="63"/>
    <w:qFormat/>
    <w:uiPriority w:val="0"/>
    <w:pPr>
      <w:outlineLvl w:val="5"/>
    </w:pPr>
  </w:style>
  <w:style w:type="paragraph" w:customStyle="1" w:styleId="138">
    <w:name w:val="附录图"/>
    <w:next w:val="63"/>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9">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0">
    <w:name w:val="附录五级无标题条"/>
    <w:basedOn w:val="137"/>
    <w:next w:val="63"/>
    <w:qFormat/>
    <w:uiPriority w:val="0"/>
    <w:pPr>
      <w:outlineLvl w:val="6"/>
    </w:pPr>
  </w:style>
  <w:style w:type="paragraph" w:customStyle="1" w:styleId="141">
    <w:name w:val="附录性质"/>
    <w:basedOn w:val="1"/>
    <w:qFormat/>
    <w:uiPriority w:val="0"/>
    <w:pPr>
      <w:widowControl/>
      <w:adjustRightInd/>
      <w:jc w:val="center"/>
    </w:pPr>
    <w:rPr>
      <w:rFonts w:ascii="黑体" w:eastAsia="黑体"/>
    </w:rPr>
  </w:style>
  <w:style w:type="paragraph" w:customStyle="1" w:styleId="142">
    <w:name w:val="附录一级无标题条"/>
    <w:basedOn w:val="94"/>
    <w:next w:val="63"/>
    <w:qFormat/>
    <w:uiPriority w:val="0"/>
    <w:pPr>
      <w:autoSpaceDN w:val="0"/>
      <w:outlineLvl w:val="2"/>
    </w:pPr>
    <w:rPr>
      <w:rFonts w:ascii="宋体" w:hAnsi="宋体" w:eastAsia="宋体"/>
    </w:rPr>
  </w:style>
  <w:style w:type="character" w:customStyle="1" w:styleId="143">
    <w:name w:val="个人答复风格"/>
    <w:qFormat/>
    <w:uiPriority w:val="0"/>
    <w:rPr>
      <w:rFonts w:ascii="Arial" w:hAnsi="Arial" w:eastAsia="宋体" w:cs="Arial"/>
      <w:color w:val="auto"/>
      <w:spacing w:val="0"/>
      <w:sz w:val="20"/>
    </w:rPr>
  </w:style>
  <w:style w:type="character" w:customStyle="1" w:styleId="144">
    <w:name w:val="个人撰写风格"/>
    <w:qFormat/>
    <w:uiPriority w:val="0"/>
    <w:rPr>
      <w:rFonts w:ascii="Arial" w:hAnsi="Arial" w:eastAsia="宋体" w:cs="Arial"/>
      <w:color w:val="auto"/>
      <w:spacing w:val="0"/>
      <w:sz w:val="20"/>
    </w:rPr>
  </w:style>
  <w:style w:type="paragraph" w:customStyle="1" w:styleId="145">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6">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7">
    <w:name w:val="列项·"/>
    <w:basedOn w:val="63"/>
    <w:qFormat/>
    <w:uiPriority w:val="0"/>
    <w:pPr>
      <w:tabs>
        <w:tab w:val="left" w:pos="840"/>
      </w:tabs>
    </w:pPr>
  </w:style>
  <w:style w:type="paragraph" w:customStyle="1" w:styleId="14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9">
    <w:name w:val="目录 21"/>
    <w:basedOn w:val="1"/>
    <w:next w:val="1"/>
    <w:semiHidden/>
    <w:qFormat/>
    <w:uiPriority w:val="0"/>
    <w:pPr>
      <w:adjustRightInd/>
      <w:spacing w:line="240" w:lineRule="auto"/>
      <w:jc w:val="left"/>
    </w:pPr>
    <w:rPr>
      <w:bCs/>
      <w:iCs/>
    </w:rPr>
  </w:style>
  <w:style w:type="paragraph" w:customStyle="1" w:styleId="150">
    <w:name w:val="目录 31"/>
    <w:basedOn w:val="1"/>
    <w:next w:val="1"/>
    <w:semiHidden/>
    <w:qFormat/>
    <w:uiPriority w:val="0"/>
    <w:pPr>
      <w:spacing w:line="240" w:lineRule="auto"/>
    </w:pPr>
    <w:rPr>
      <w:rFonts w:ascii="宋体" w:hAnsi="宋体"/>
      <w:iCs/>
    </w:rPr>
  </w:style>
  <w:style w:type="paragraph" w:customStyle="1" w:styleId="151">
    <w:name w:val="目录 41"/>
    <w:basedOn w:val="1"/>
    <w:next w:val="1"/>
    <w:semiHidden/>
    <w:qFormat/>
    <w:uiPriority w:val="0"/>
    <w:pPr>
      <w:adjustRightInd/>
      <w:spacing w:line="240" w:lineRule="auto"/>
      <w:jc w:val="left"/>
    </w:pPr>
  </w:style>
  <w:style w:type="paragraph" w:customStyle="1" w:styleId="152">
    <w:name w:val="目录 51"/>
    <w:basedOn w:val="1"/>
    <w:next w:val="1"/>
    <w:semiHidden/>
    <w:qFormat/>
    <w:uiPriority w:val="0"/>
    <w:pPr>
      <w:spacing w:line="240" w:lineRule="auto"/>
    </w:pPr>
    <w:rPr>
      <w:rFonts w:ascii="宋体" w:hAnsi="宋体"/>
    </w:rPr>
  </w:style>
  <w:style w:type="paragraph" w:customStyle="1" w:styleId="153">
    <w:name w:val="目录 61"/>
    <w:basedOn w:val="1"/>
    <w:next w:val="1"/>
    <w:semiHidden/>
    <w:qFormat/>
    <w:uiPriority w:val="0"/>
    <w:pPr>
      <w:adjustRightInd/>
      <w:spacing w:line="240" w:lineRule="auto"/>
      <w:jc w:val="left"/>
    </w:pPr>
  </w:style>
  <w:style w:type="paragraph" w:customStyle="1" w:styleId="154">
    <w:name w:val="目录 71"/>
    <w:basedOn w:val="153"/>
    <w:semiHidden/>
    <w:qFormat/>
    <w:uiPriority w:val="0"/>
    <w:pPr>
      <w:ind w:left="1260"/>
    </w:pPr>
  </w:style>
  <w:style w:type="paragraph" w:customStyle="1" w:styleId="155">
    <w:name w:val="目录 81"/>
    <w:basedOn w:val="154"/>
    <w:semiHidden/>
    <w:qFormat/>
    <w:uiPriority w:val="0"/>
    <w:pPr>
      <w:ind w:left="1470"/>
    </w:pPr>
  </w:style>
  <w:style w:type="paragraph" w:customStyle="1" w:styleId="156">
    <w:name w:val="目录 91"/>
    <w:basedOn w:val="155"/>
    <w:semiHidden/>
    <w:qFormat/>
    <w:uiPriority w:val="0"/>
    <w:pPr>
      <w:ind w:left="1680"/>
    </w:pPr>
  </w:style>
  <w:style w:type="paragraph" w:customStyle="1" w:styleId="15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8">
    <w:name w:val="其他发布部门"/>
    <w:basedOn w:val="126"/>
    <w:qFormat/>
    <w:uiPriority w:val="0"/>
    <w:pPr>
      <w:framePr w:wrap="around"/>
      <w:spacing w:line="0" w:lineRule="atLeast"/>
    </w:pPr>
    <w:rPr>
      <w:rFonts w:ascii="黑体" w:eastAsia="黑体"/>
      <w:b w:val="0"/>
    </w:rPr>
  </w:style>
  <w:style w:type="paragraph" w:customStyle="1" w:styleId="159">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0">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1">
    <w:name w:val="实施日期"/>
    <w:basedOn w:val="127"/>
    <w:qFormat/>
    <w:uiPriority w:val="0"/>
    <w:pPr>
      <w:framePr w:hSpace="0" w:wrap="around" w:xAlign="right"/>
      <w:jc w:val="right"/>
    </w:pPr>
  </w:style>
  <w:style w:type="paragraph" w:customStyle="1" w:styleId="162">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4">
    <w:name w:val="无标题条"/>
    <w:next w:val="63"/>
    <w:qFormat/>
    <w:uiPriority w:val="0"/>
    <w:pPr>
      <w:jc w:val="both"/>
    </w:pPr>
    <w:rPr>
      <w:rFonts w:ascii="宋体" w:hAnsi="宋体" w:eastAsia="宋体" w:cs="Times New Roman"/>
      <w:sz w:val="21"/>
      <w:lang w:val="en-US" w:eastAsia="zh-CN" w:bidi="ar-SA"/>
    </w:rPr>
  </w:style>
  <w:style w:type="paragraph" w:customStyle="1" w:styleId="165">
    <w:name w:val="五级无标题条"/>
    <w:basedOn w:val="1"/>
    <w:qFormat/>
    <w:uiPriority w:val="0"/>
    <w:pPr>
      <w:numPr>
        <w:ilvl w:val="6"/>
        <w:numId w:val="20"/>
      </w:numPr>
      <w:adjustRightInd/>
    </w:pPr>
    <w:rPr>
      <w:szCs w:val="24"/>
    </w:rPr>
  </w:style>
  <w:style w:type="paragraph" w:customStyle="1" w:styleId="166">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7">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8">
    <w:name w:val="注×:后续"/>
    <w:basedOn w:val="167"/>
    <w:qFormat/>
    <w:uiPriority w:val="0"/>
    <w:pPr>
      <w:ind w:left="1406" w:leftChars="0" w:hanging="499" w:firstLineChars="0"/>
    </w:pPr>
  </w:style>
  <w:style w:type="paragraph" w:customStyle="1" w:styleId="169">
    <w:name w:val="标准文件_一级无标题"/>
    <w:basedOn w:val="112"/>
    <w:qFormat/>
    <w:uiPriority w:val="0"/>
    <w:pPr>
      <w:spacing w:beforeLines="0" w:afterLines="0"/>
      <w:outlineLvl w:val="9"/>
    </w:pPr>
    <w:rPr>
      <w:rFonts w:ascii="宋体" w:eastAsia="宋体"/>
    </w:rPr>
  </w:style>
  <w:style w:type="paragraph" w:customStyle="1" w:styleId="170">
    <w:name w:val="标准文件_五级无标题"/>
    <w:basedOn w:val="110"/>
    <w:qFormat/>
    <w:uiPriority w:val="0"/>
    <w:pPr>
      <w:spacing w:beforeLines="0" w:afterLines="0"/>
      <w:outlineLvl w:val="9"/>
    </w:pPr>
    <w:rPr>
      <w:rFonts w:ascii="宋体" w:eastAsia="宋体"/>
    </w:rPr>
  </w:style>
  <w:style w:type="paragraph" w:customStyle="1" w:styleId="171">
    <w:name w:val="标准文件_三级无标题"/>
    <w:basedOn w:val="101"/>
    <w:qFormat/>
    <w:uiPriority w:val="0"/>
    <w:pPr>
      <w:spacing w:beforeLines="0" w:afterLines="0"/>
      <w:outlineLvl w:val="9"/>
    </w:pPr>
    <w:rPr>
      <w:rFonts w:ascii="宋体" w:eastAsia="宋体"/>
    </w:rPr>
  </w:style>
  <w:style w:type="paragraph" w:customStyle="1" w:styleId="172">
    <w:name w:val="标准文件_二级无标题"/>
    <w:basedOn w:val="72"/>
    <w:qFormat/>
    <w:uiPriority w:val="0"/>
    <w:pPr>
      <w:spacing w:beforeLines="0" w:afterLines="0"/>
      <w:outlineLvl w:val="9"/>
    </w:pPr>
    <w:rPr>
      <w:rFonts w:ascii="宋体" w:eastAsia="宋体"/>
    </w:rPr>
  </w:style>
  <w:style w:type="paragraph" w:customStyle="1" w:styleId="173">
    <w:name w:val="标准_四级无标题"/>
    <w:basedOn w:val="105"/>
    <w:next w:val="63"/>
    <w:qFormat/>
    <w:uiPriority w:val="0"/>
    <w:rPr>
      <w:rFonts w:eastAsia="宋体"/>
    </w:rPr>
  </w:style>
  <w:style w:type="paragraph" w:customStyle="1" w:styleId="174">
    <w:name w:val="标准文件_四级无标题"/>
    <w:basedOn w:val="105"/>
    <w:qFormat/>
    <w:uiPriority w:val="0"/>
    <w:pPr>
      <w:spacing w:beforeLines="0" w:afterLines="0"/>
      <w:outlineLvl w:val="9"/>
    </w:pPr>
    <w:rPr>
      <w:rFonts w:ascii="宋体" w:hAnsi="黑体" w:eastAsia="宋体"/>
      <w:szCs w:val="52"/>
    </w:rPr>
  </w:style>
  <w:style w:type="paragraph" w:customStyle="1" w:styleId="175">
    <w:name w:val="标准文件_大写罗马数字编号列项"/>
    <w:basedOn w:val="63"/>
    <w:qFormat/>
    <w:uiPriority w:val="0"/>
    <w:pPr>
      <w:numPr>
        <w:ilvl w:val="0"/>
        <w:numId w:val="23"/>
      </w:numPr>
      <w:ind w:firstLine="0" w:firstLineChars="0"/>
    </w:pPr>
    <w:rPr>
      <w:rFonts w:ascii="Times New Roman" w:cs="Arial"/>
      <w:szCs w:val="28"/>
    </w:rPr>
  </w:style>
  <w:style w:type="paragraph" w:customStyle="1" w:styleId="176">
    <w:name w:val="标准文件_小写罗马数字编号列项"/>
    <w:basedOn w:val="63"/>
    <w:qFormat/>
    <w:uiPriority w:val="0"/>
    <w:pPr>
      <w:numPr>
        <w:ilvl w:val="0"/>
        <w:numId w:val="24"/>
      </w:numPr>
      <w:ind w:firstLine="0" w:firstLineChars="0"/>
    </w:pPr>
    <w:rPr>
      <w:rFonts w:cs="Arial"/>
      <w:szCs w:val="28"/>
    </w:rPr>
  </w:style>
  <w:style w:type="paragraph" w:customStyle="1" w:styleId="177">
    <w:name w:val="标准文件_附录标题"/>
    <w:basedOn w:val="83"/>
    <w:qFormat/>
    <w:uiPriority w:val="0"/>
    <w:pPr>
      <w:numPr>
        <w:numId w:val="0"/>
      </w:numPr>
      <w:spacing w:after="280"/>
      <w:outlineLvl w:val="9"/>
    </w:pPr>
  </w:style>
  <w:style w:type="paragraph" w:customStyle="1" w:styleId="178">
    <w:name w:val="标准文件_二级项"/>
    <w:qFormat/>
    <w:uiPriority w:val="0"/>
    <w:rPr>
      <w:rFonts w:ascii="宋体" w:hAnsi="Times New Roman" w:eastAsia="宋体" w:cs="Times New Roman"/>
      <w:sz w:val="21"/>
      <w:lang w:val="en-US" w:eastAsia="zh-CN" w:bidi="ar-SA"/>
    </w:rPr>
  </w:style>
  <w:style w:type="paragraph" w:customStyle="1" w:styleId="179">
    <w:name w:val="标准文件_三级项"/>
    <w:basedOn w:val="1"/>
    <w:qFormat/>
    <w:uiPriority w:val="0"/>
    <w:pPr>
      <w:numPr>
        <w:ilvl w:val="2"/>
        <w:numId w:val="21"/>
      </w:numPr>
      <w:spacing w:line="536870612" w:lineRule="auto"/>
    </w:pPr>
    <w:rPr>
      <w:rFonts w:ascii="Times New Roman" w:hAnsi="Times New Roman"/>
    </w:rPr>
  </w:style>
  <w:style w:type="paragraph" w:customStyle="1" w:styleId="180">
    <w:name w:val="图表脚注说明"/>
    <w:basedOn w:val="1"/>
    <w:next w:val="63"/>
    <w:qFormat/>
    <w:uiPriority w:val="0"/>
    <w:pPr>
      <w:numPr>
        <w:ilvl w:val="0"/>
        <w:numId w:val="25"/>
      </w:numPr>
      <w:adjustRightInd/>
      <w:spacing w:line="240" w:lineRule="auto"/>
    </w:pPr>
    <w:rPr>
      <w:rFonts w:ascii="宋体" w:hAnsi="Times New Roman"/>
      <w:sz w:val="18"/>
      <w:szCs w:val="18"/>
    </w:rPr>
  </w:style>
  <w:style w:type="paragraph" w:customStyle="1" w:styleId="181">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2">
    <w:name w:val="标准文件_索引字母"/>
    <w:next w:val="63"/>
    <w:qFormat/>
    <w:uiPriority w:val="0"/>
    <w:pPr>
      <w:jc w:val="center"/>
    </w:pPr>
    <w:rPr>
      <w:rFonts w:ascii="宋体" w:hAnsi="宋体" w:eastAsia="Times New Roman" w:cs="Times New Roman"/>
      <w:b/>
      <w:kern w:val="2"/>
      <w:sz w:val="21"/>
      <w:lang w:val="en-US" w:eastAsia="zh-CN" w:bidi="ar-SA"/>
    </w:rPr>
  </w:style>
  <w:style w:type="paragraph" w:customStyle="1" w:styleId="183">
    <w:name w:val="标准文件_附录前"/>
    <w:next w:val="6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4">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5">
    <w:name w:val="标准文件_表格"/>
    <w:basedOn w:val="63"/>
    <w:qFormat/>
    <w:uiPriority w:val="0"/>
    <w:pPr>
      <w:ind w:firstLine="0" w:firstLineChars="0"/>
      <w:jc w:val="center"/>
    </w:pPr>
    <w:rPr>
      <w:sz w:val="18"/>
    </w:rPr>
  </w:style>
  <w:style w:type="paragraph" w:customStyle="1" w:styleId="186">
    <w:name w:val="标准文件_注："/>
    <w:next w:val="63"/>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示例："/>
    <w:next w:val="189"/>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9">
    <w:name w:val="标准文件_示例内容"/>
    <w:basedOn w:val="63"/>
    <w:qFormat/>
    <w:uiPriority w:val="0"/>
    <w:pPr>
      <w:ind w:firstLine="420"/>
    </w:pPr>
    <w:rPr>
      <w:sz w:val="18"/>
    </w:rPr>
  </w:style>
  <w:style w:type="paragraph" w:customStyle="1" w:styleId="190">
    <w:name w:val="标准文件_示例×："/>
    <w:basedOn w:val="1"/>
    <w:next w:val="189"/>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1">
    <w:name w:val="标准文件_段 Char"/>
    <w:link w:val="63"/>
    <w:qFormat/>
    <w:uiPriority w:val="0"/>
    <w:rPr>
      <w:rFonts w:ascii="宋体" w:hAnsi="Times New Roman"/>
      <w:sz w:val="21"/>
    </w:rPr>
  </w:style>
  <w:style w:type="paragraph" w:customStyle="1" w:styleId="192">
    <w:name w:val="标准文件_表格续"/>
    <w:basedOn w:val="63"/>
    <w:next w:val="63"/>
    <w:qFormat/>
    <w:uiPriority w:val="0"/>
    <w:pPr>
      <w:jc w:val="center"/>
    </w:pPr>
    <w:rPr>
      <w:rFonts w:ascii="黑体" w:hAnsi="黑体" w:eastAsia="黑体"/>
    </w:rPr>
  </w:style>
  <w:style w:type="character" w:styleId="193">
    <w:name w:val="Placeholder Text"/>
    <w:basedOn w:val="35"/>
    <w:semiHidden/>
    <w:qFormat/>
    <w:uiPriority w:val="99"/>
    <w:rPr>
      <w:color w:val="808080"/>
    </w:rPr>
  </w:style>
  <w:style w:type="paragraph" w:customStyle="1" w:styleId="194">
    <w:name w:val="标准文件_二级项2"/>
    <w:basedOn w:val="63"/>
    <w:qFormat/>
    <w:uiPriority w:val="0"/>
    <w:pPr>
      <w:numPr>
        <w:ilvl w:val="1"/>
        <w:numId w:val="21"/>
      </w:numPr>
      <w:ind w:firstLine="0" w:firstLineChars="0"/>
    </w:pPr>
  </w:style>
  <w:style w:type="paragraph" w:customStyle="1" w:styleId="195">
    <w:name w:val="标准文件_三级项2"/>
    <w:basedOn w:val="63"/>
    <w:qFormat/>
    <w:uiPriority w:val="0"/>
    <w:pPr>
      <w:numPr>
        <w:ilvl w:val="0"/>
        <w:numId w:val="30"/>
      </w:numPr>
      <w:spacing w:line="300" w:lineRule="exact"/>
      <w:ind w:firstLineChars="0"/>
    </w:pPr>
    <w:rPr>
      <w:rFonts w:ascii="Times New Roman"/>
    </w:rPr>
  </w:style>
  <w:style w:type="paragraph" w:customStyle="1" w:styleId="196">
    <w:name w:val="标准文件_一级项2"/>
    <w:basedOn w:val="63"/>
    <w:qFormat/>
    <w:uiPriority w:val="0"/>
    <w:pPr>
      <w:numPr>
        <w:ilvl w:val="0"/>
        <w:numId w:val="31"/>
      </w:numPr>
      <w:spacing w:line="300" w:lineRule="exact"/>
      <w:ind w:firstLineChars="0"/>
    </w:pPr>
    <w:rPr>
      <w:rFonts w:ascii="Times New Roman"/>
    </w:rPr>
  </w:style>
  <w:style w:type="paragraph" w:customStyle="1" w:styleId="197">
    <w:name w:val="标准文件_提示"/>
    <w:basedOn w:val="63"/>
    <w:next w:val="63"/>
    <w:qFormat/>
    <w:uiPriority w:val="0"/>
    <w:pPr>
      <w:ind w:firstLine="420"/>
    </w:pPr>
    <w:rPr>
      <w:rFonts w:ascii="黑体" w:eastAsia="黑体"/>
    </w:rPr>
  </w:style>
  <w:style w:type="character" w:customStyle="1" w:styleId="198">
    <w:name w:val="标准文件_来源"/>
    <w:basedOn w:val="35"/>
    <w:qFormat/>
    <w:uiPriority w:val="1"/>
    <w:rPr>
      <w:rFonts w:eastAsia="宋体"/>
      <w:sz w:val="21"/>
    </w:rPr>
  </w:style>
  <w:style w:type="paragraph" w:customStyle="1" w:styleId="19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0">
    <w:name w:val="其他发布日期"/>
    <w:basedOn w:val="127"/>
    <w:qFormat/>
    <w:uiPriority w:val="0"/>
    <w:pPr>
      <w:framePr w:w="3997" w:h="471" w:hRule="exact" w:hSpace="0" w:vSpace="181" w:wrap="around" w:vAnchor="page" w:hAnchor="page" w:x="1419" w:y="14097"/>
    </w:pPr>
  </w:style>
  <w:style w:type="paragraph" w:customStyle="1" w:styleId="201">
    <w:name w:val="其他实施日期"/>
    <w:basedOn w:val="161"/>
    <w:qFormat/>
    <w:uiPriority w:val="0"/>
    <w:pPr>
      <w:framePr w:w="3997" w:h="471" w:hRule="exact" w:vSpace="181" w:wrap="around" w:vAnchor="page" w:hAnchor="page" w:x="7089" w:y="14097"/>
    </w:pPr>
  </w:style>
  <w:style w:type="paragraph" w:customStyle="1" w:styleId="202">
    <w:name w:val="标准文件_文件编号"/>
    <w:basedOn w:val="63"/>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3">
    <w:name w:val="标准文件_替换文件编号"/>
    <w:basedOn w:val="202"/>
    <w:qFormat/>
    <w:uiPriority w:val="0"/>
    <w:pPr>
      <w:framePr w:wrap="around"/>
      <w:spacing w:before="57"/>
    </w:pPr>
    <w:rPr>
      <w:sz w:val="21"/>
    </w:rPr>
  </w:style>
  <w:style w:type="paragraph" w:customStyle="1" w:styleId="204">
    <w:name w:val="标准文件_文件名称"/>
    <w:basedOn w:val="63"/>
    <w:next w:val="63"/>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5">
    <w:name w:val="标准文件_附录图标号"/>
    <w:basedOn w:val="63"/>
    <w:next w:val="63"/>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6">
    <w:name w:val="标准文件_附录表标号"/>
    <w:basedOn w:val="63"/>
    <w:next w:val="63"/>
    <w:qFormat/>
    <w:uiPriority w:val="0"/>
    <w:pPr>
      <w:numPr>
        <w:ilvl w:val="0"/>
        <w:numId w:val="5"/>
      </w:numPr>
      <w:spacing w:line="14" w:lineRule="exact"/>
      <w:ind w:firstLine="0" w:firstLineChars="0"/>
      <w:jc w:val="center"/>
    </w:pPr>
    <w:rPr>
      <w:rFonts w:eastAsia="黑体"/>
      <w:vanish/>
      <w:sz w:val="2"/>
    </w:rPr>
  </w:style>
  <w:style w:type="paragraph" w:customStyle="1" w:styleId="207">
    <w:name w:val="标准文件_引言一级条标题"/>
    <w:basedOn w:val="63"/>
    <w:next w:val="63"/>
    <w:qFormat/>
    <w:uiPriority w:val="0"/>
    <w:pPr>
      <w:numPr>
        <w:ilvl w:val="1"/>
        <w:numId w:val="8"/>
      </w:numPr>
      <w:spacing w:beforeLines="50" w:afterLines="50"/>
      <w:ind w:firstLineChars="0"/>
    </w:pPr>
    <w:rPr>
      <w:rFonts w:ascii="黑体" w:eastAsia="黑体"/>
    </w:rPr>
  </w:style>
  <w:style w:type="paragraph" w:customStyle="1" w:styleId="208">
    <w:name w:val="标准文件_引言二级条标题"/>
    <w:basedOn w:val="63"/>
    <w:next w:val="63"/>
    <w:qFormat/>
    <w:uiPriority w:val="0"/>
    <w:pPr>
      <w:numPr>
        <w:ilvl w:val="2"/>
        <w:numId w:val="8"/>
      </w:numPr>
      <w:spacing w:beforeLines="50" w:afterLines="50"/>
      <w:ind w:firstLineChars="0"/>
    </w:pPr>
    <w:rPr>
      <w:rFonts w:ascii="黑体" w:eastAsia="黑体"/>
    </w:rPr>
  </w:style>
  <w:style w:type="paragraph" w:customStyle="1" w:styleId="209">
    <w:name w:val="标准文件_引言三级条标题"/>
    <w:basedOn w:val="63"/>
    <w:next w:val="63"/>
    <w:qFormat/>
    <w:uiPriority w:val="0"/>
    <w:pPr>
      <w:numPr>
        <w:ilvl w:val="3"/>
        <w:numId w:val="8"/>
      </w:numPr>
      <w:spacing w:beforeLines="50" w:afterLines="50"/>
      <w:ind w:firstLineChars="0"/>
    </w:pPr>
    <w:rPr>
      <w:rFonts w:ascii="黑体" w:eastAsia="黑体"/>
    </w:rPr>
  </w:style>
  <w:style w:type="paragraph" w:customStyle="1" w:styleId="210">
    <w:name w:val="标准文件_引言四级条标题"/>
    <w:basedOn w:val="63"/>
    <w:next w:val="63"/>
    <w:qFormat/>
    <w:uiPriority w:val="0"/>
    <w:pPr>
      <w:numPr>
        <w:ilvl w:val="4"/>
        <w:numId w:val="8"/>
      </w:numPr>
      <w:spacing w:beforeLines="50" w:afterLines="50"/>
      <w:ind w:firstLineChars="0"/>
    </w:pPr>
    <w:rPr>
      <w:rFonts w:ascii="黑体" w:eastAsia="黑体"/>
    </w:rPr>
  </w:style>
  <w:style w:type="paragraph" w:customStyle="1" w:styleId="211">
    <w:name w:val="标准文件_引言五级条标题"/>
    <w:basedOn w:val="63"/>
    <w:next w:val="63"/>
    <w:qFormat/>
    <w:uiPriority w:val="0"/>
    <w:pPr>
      <w:numPr>
        <w:ilvl w:val="5"/>
        <w:numId w:val="8"/>
      </w:numPr>
      <w:spacing w:beforeLines="50" w:afterLines="50"/>
      <w:ind w:firstLineChars="0"/>
    </w:pPr>
    <w:rPr>
      <w:rFonts w:ascii="黑体" w:eastAsia="黑体"/>
    </w:rPr>
  </w:style>
  <w:style w:type="paragraph" w:customStyle="1" w:styleId="212">
    <w:name w:val="标准文件_注后"/>
    <w:basedOn w:val="63"/>
    <w:qFormat/>
    <w:uiPriority w:val="0"/>
    <w:pPr>
      <w:ind w:left="811" w:firstLine="0" w:firstLineChars="0"/>
    </w:pPr>
    <w:rPr>
      <w:sz w:val="18"/>
    </w:rPr>
  </w:style>
  <w:style w:type="paragraph" w:customStyle="1" w:styleId="213">
    <w:name w:val="标准文件_注X后"/>
    <w:basedOn w:val="63"/>
    <w:qFormat/>
    <w:uiPriority w:val="0"/>
    <w:pPr>
      <w:ind w:left="811" w:firstLine="0" w:firstLineChars="0"/>
    </w:pPr>
    <w:rPr>
      <w:sz w:val="18"/>
    </w:rPr>
  </w:style>
  <w:style w:type="paragraph" w:customStyle="1" w:styleId="214">
    <w:name w:val="标准文件_示例后"/>
    <w:basedOn w:val="63"/>
    <w:qFormat/>
    <w:uiPriority w:val="0"/>
    <w:pPr>
      <w:ind w:left="964" w:firstLine="0" w:firstLineChars="0"/>
    </w:pPr>
    <w:rPr>
      <w:sz w:val="18"/>
    </w:rPr>
  </w:style>
  <w:style w:type="paragraph" w:customStyle="1" w:styleId="215">
    <w:name w:val="标准文件_示例X后"/>
    <w:basedOn w:val="63"/>
    <w:link w:val="216"/>
    <w:qFormat/>
    <w:uiPriority w:val="0"/>
    <w:pPr>
      <w:ind w:left="1049" w:firstLine="0" w:firstLineChars="0"/>
    </w:pPr>
    <w:rPr>
      <w:sz w:val="18"/>
    </w:rPr>
  </w:style>
  <w:style w:type="character" w:customStyle="1" w:styleId="216">
    <w:name w:val="标准文件_示例X后 字符"/>
    <w:basedOn w:val="191"/>
    <w:link w:val="215"/>
    <w:qFormat/>
    <w:uiPriority w:val="0"/>
    <w:rPr>
      <w:rFonts w:ascii="宋体" w:hAnsi="Times New Roman"/>
      <w:sz w:val="18"/>
    </w:rPr>
  </w:style>
  <w:style w:type="paragraph" w:customStyle="1" w:styleId="217">
    <w:name w:val="标准文件_索引项"/>
    <w:basedOn w:val="63"/>
    <w:next w:val="63"/>
    <w:qFormat/>
    <w:uiPriority w:val="0"/>
    <w:pPr>
      <w:tabs>
        <w:tab w:val="right" w:leader="dot" w:pos="9356"/>
      </w:tabs>
      <w:ind w:left="210" w:hanging="210" w:firstLineChars="0"/>
      <w:jc w:val="left"/>
    </w:pPr>
  </w:style>
  <w:style w:type="paragraph" w:customStyle="1" w:styleId="218">
    <w:name w:val="标准文件_附录一级无标题"/>
    <w:basedOn w:val="85"/>
    <w:qFormat/>
    <w:uiPriority w:val="0"/>
    <w:pPr>
      <w:spacing w:beforeLines="0" w:afterLines="0" w:line="276" w:lineRule="auto"/>
      <w:outlineLvl w:val="9"/>
    </w:pPr>
    <w:rPr>
      <w:rFonts w:ascii="宋体" w:eastAsia="宋体"/>
    </w:rPr>
  </w:style>
  <w:style w:type="paragraph" w:customStyle="1" w:styleId="219">
    <w:name w:val="标准文件_附录二级无标题"/>
    <w:basedOn w:val="86"/>
    <w:qFormat/>
    <w:uiPriority w:val="0"/>
    <w:pPr>
      <w:spacing w:beforeLines="0" w:afterLines="0" w:line="276" w:lineRule="auto"/>
      <w:outlineLvl w:val="9"/>
    </w:pPr>
    <w:rPr>
      <w:rFonts w:ascii="宋体" w:eastAsia="宋体"/>
    </w:rPr>
  </w:style>
  <w:style w:type="paragraph" w:customStyle="1" w:styleId="220">
    <w:name w:val="标准文件_附录三级无标题"/>
    <w:basedOn w:val="88"/>
    <w:qFormat/>
    <w:uiPriority w:val="0"/>
    <w:pPr>
      <w:spacing w:beforeLines="0" w:afterLines="0" w:line="276" w:lineRule="auto"/>
      <w:outlineLvl w:val="9"/>
    </w:pPr>
    <w:rPr>
      <w:rFonts w:ascii="宋体" w:eastAsia="宋体"/>
    </w:rPr>
  </w:style>
  <w:style w:type="paragraph" w:customStyle="1" w:styleId="221">
    <w:name w:val="标准文件_附录四级无标题"/>
    <w:basedOn w:val="89"/>
    <w:qFormat/>
    <w:uiPriority w:val="0"/>
    <w:pPr>
      <w:spacing w:beforeLines="0" w:afterLines="0" w:line="276" w:lineRule="auto"/>
      <w:outlineLvl w:val="9"/>
    </w:pPr>
    <w:rPr>
      <w:rFonts w:ascii="宋体" w:eastAsia="宋体"/>
    </w:rPr>
  </w:style>
  <w:style w:type="paragraph" w:customStyle="1" w:styleId="222">
    <w:name w:val="标准文件_附录五级无标题"/>
    <w:basedOn w:val="91"/>
    <w:qFormat/>
    <w:uiPriority w:val="0"/>
    <w:pPr>
      <w:spacing w:beforeLines="0" w:afterLines="0" w:line="276" w:lineRule="auto"/>
      <w:outlineLvl w:val="9"/>
    </w:pPr>
    <w:rPr>
      <w:rFonts w:ascii="宋体" w:eastAsia="宋体"/>
    </w:rPr>
  </w:style>
  <w:style w:type="paragraph" w:customStyle="1" w:styleId="223">
    <w:name w:val="标准文件_引言一级无标题"/>
    <w:basedOn w:val="207"/>
    <w:next w:val="63"/>
    <w:qFormat/>
    <w:uiPriority w:val="0"/>
    <w:pPr>
      <w:spacing w:beforeLines="0" w:afterLines="0" w:line="276" w:lineRule="auto"/>
    </w:pPr>
    <w:rPr>
      <w:rFonts w:ascii="宋体" w:eastAsia="宋体"/>
    </w:rPr>
  </w:style>
  <w:style w:type="paragraph" w:customStyle="1" w:styleId="224">
    <w:name w:val="标准文件_引言二级无标题"/>
    <w:basedOn w:val="208"/>
    <w:next w:val="63"/>
    <w:qFormat/>
    <w:uiPriority w:val="0"/>
    <w:pPr>
      <w:spacing w:beforeLines="0" w:afterLines="0" w:line="276" w:lineRule="auto"/>
    </w:pPr>
    <w:rPr>
      <w:rFonts w:ascii="宋体" w:eastAsia="宋体"/>
    </w:rPr>
  </w:style>
  <w:style w:type="paragraph" w:customStyle="1" w:styleId="225">
    <w:name w:val="标准文件_引言三级无标题"/>
    <w:basedOn w:val="209"/>
    <w:qFormat/>
    <w:uiPriority w:val="0"/>
    <w:pPr>
      <w:spacing w:beforeLines="0" w:afterLines="0" w:line="276" w:lineRule="auto"/>
    </w:pPr>
    <w:rPr>
      <w:rFonts w:ascii="宋体" w:eastAsia="宋体"/>
    </w:rPr>
  </w:style>
  <w:style w:type="paragraph" w:customStyle="1" w:styleId="226">
    <w:name w:val="标准文件_引言四级无标题"/>
    <w:basedOn w:val="210"/>
    <w:next w:val="63"/>
    <w:qFormat/>
    <w:uiPriority w:val="0"/>
    <w:pPr>
      <w:spacing w:beforeLines="0" w:afterLines="0" w:line="276" w:lineRule="auto"/>
    </w:pPr>
    <w:rPr>
      <w:rFonts w:ascii="宋体" w:eastAsia="宋体"/>
    </w:rPr>
  </w:style>
  <w:style w:type="paragraph" w:customStyle="1" w:styleId="227">
    <w:name w:val="标准文件_引言五级无标题"/>
    <w:basedOn w:val="211"/>
    <w:next w:val="63"/>
    <w:qFormat/>
    <w:uiPriority w:val="0"/>
    <w:pPr>
      <w:spacing w:beforeLines="0" w:afterLines="0" w:line="276" w:lineRule="auto"/>
    </w:pPr>
    <w:rPr>
      <w:rFonts w:ascii="宋体" w:eastAsia="宋体"/>
    </w:rPr>
  </w:style>
  <w:style w:type="paragraph" w:customStyle="1" w:styleId="228">
    <w:name w:val="标准文件_索引标题"/>
    <w:basedOn w:val="70"/>
    <w:next w:val="63"/>
    <w:qFormat/>
    <w:uiPriority w:val="0"/>
    <w:rPr>
      <w:rFonts w:hAnsi="黑体"/>
    </w:rPr>
  </w:style>
  <w:style w:type="paragraph" w:customStyle="1" w:styleId="229">
    <w:name w:val="标准文件_脚注内容"/>
    <w:basedOn w:val="63"/>
    <w:qFormat/>
    <w:uiPriority w:val="0"/>
    <w:pPr>
      <w:ind w:left="400" w:leftChars="200" w:hanging="200" w:hangingChars="200"/>
    </w:pPr>
    <w:rPr>
      <w:sz w:val="15"/>
    </w:rPr>
  </w:style>
  <w:style w:type="paragraph" w:customStyle="1" w:styleId="230">
    <w:name w:val="标准文件_术语条一"/>
    <w:basedOn w:val="169"/>
    <w:next w:val="63"/>
    <w:qFormat/>
    <w:uiPriority w:val="0"/>
  </w:style>
  <w:style w:type="paragraph" w:customStyle="1" w:styleId="231">
    <w:name w:val="标准文件_术语条二"/>
    <w:basedOn w:val="172"/>
    <w:next w:val="63"/>
    <w:qFormat/>
    <w:uiPriority w:val="0"/>
  </w:style>
  <w:style w:type="paragraph" w:customStyle="1" w:styleId="232">
    <w:name w:val="标准文件_术语条三"/>
    <w:basedOn w:val="171"/>
    <w:next w:val="63"/>
    <w:qFormat/>
    <w:uiPriority w:val="0"/>
  </w:style>
  <w:style w:type="paragraph" w:customStyle="1" w:styleId="233">
    <w:name w:val="标准文件_术语条四"/>
    <w:basedOn w:val="174"/>
    <w:next w:val="63"/>
    <w:qFormat/>
    <w:uiPriority w:val="0"/>
  </w:style>
  <w:style w:type="paragraph" w:customStyle="1" w:styleId="234">
    <w:name w:val="标准文件_术语条五"/>
    <w:basedOn w:val="170"/>
    <w:next w:val="63"/>
    <w:qFormat/>
    <w:uiPriority w:val="0"/>
  </w:style>
  <w:style w:type="paragraph" w:customStyle="1" w:styleId="2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6">
    <w:name w:val="发布"/>
    <w:basedOn w:val="35"/>
    <w:qFormat/>
    <w:uiPriority w:val="0"/>
    <w:rPr>
      <w:rFonts w:ascii="黑体" w:eastAsia="黑体"/>
      <w:spacing w:val="85"/>
      <w:w w:val="100"/>
      <w:position w:val="3"/>
      <w:sz w:val="28"/>
      <w:szCs w:val="28"/>
    </w:rPr>
  </w:style>
  <w:style w:type="character" w:customStyle="1" w:styleId="237">
    <w:name w:val="文档结构图 字符"/>
    <w:basedOn w:val="35"/>
    <w:link w:val="18"/>
    <w:semiHidden/>
    <w:qFormat/>
    <w:uiPriority w:val="99"/>
    <w:rPr>
      <w:rFonts w:ascii="宋体"/>
      <w:kern w:val="2"/>
      <w:sz w:val="18"/>
      <w:szCs w:val="18"/>
    </w:rPr>
  </w:style>
  <w:style w:type="character" w:customStyle="1" w:styleId="238">
    <w:name w:val="段 Char"/>
    <w:link w:val="6"/>
    <w:qFormat/>
    <w:uiPriority w:val="0"/>
    <w:rPr>
      <w:rFonts w:ascii="宋体" w:hAnsi="Times New Roman"/>
      <w:sz w:val="21"/>
    </w:rPr>
  </w:style>
  <w:style w:type="paragraph" w:customStyle="1" w:styleId="239">
    <w:name w:val="一级条标题"/>
    <w:next w:val="6"/>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40">
    <w:name w:val="二级条标题"/>
    <w:basedOn w:val="239"/>
    <w:next w:val="6"/>
    <w:qFormat/>
    <w:uiPriority w:val="0"/>
    <w:pPr>
      <w:numPr>
        <w:ilvl w:val="2"/>
      </w:numPr>
      <w:spacing w:before="50" w:after="50"/>
      <w:outlineLvl w:val="3"/>
    </w:pPr>
  </w:style>
  <w:style w:type="paragraph" w:customStyle="1" w:styleId="241">
    <w:name w:val="四级条标题"/>
    <w:basedOn w:val="1"/>
    <w:next w:val="6"/>
    <w:qFormat/>
    <w:uiPriority w:val="0"/>
    <w:pPr>
      <w:widowControl/>
      <w:numPr>
        <w:ilvl w:val="4"/>
        <w:numId w:val="1"/>
      </w:numPr>
      <w:adjustRightInd/>
      <w:spacing w:beforeLines="50" w:afterLines="50" w:line="240" w:lineRule="auto"/>
      <w:jc w:val="left"/>
      <w:outlineLvl w:val="5"/>
    </w:pPr>
    <w:rPr>
      <w:rFonts w:ascii="黑体" w:hAnsi="Times New Roman" w:eastAsia="黑体"/>
      <w:kern w:val="0"/>
    </w:rPr>
  </w:style>
  <w:style w:type="paragraph" w:customStyle="1" w:styleId="242">
    <w:name w:val="五级条标题"/>
    <w:basedOn w:val="241"/>
    <w:next w:val="6"/>
    <w:qFormat/>
    <w:uiPriority w:val="0"/>
    <w:pPr>
      <w:numPr>
        <w:ilvl w:val="5"/>
      </w:numPr>
      <w:outlineLvl w:val="6"/>
    </w:pPr>
  </w:style>
  <w:style w:type="paragraph" w:customStyle="1" w:styleId="243">
    <w:name w:val="注×：（正文）"/>
    <w:qFormat/>
    <w:uiPriority w:val="0"/>
    <w:pPr>
      <w:numPr>
        <w:ilvl w:val="0"/>
        <w:numId w:val="32"/>
      </w:numPr>
      <w:jc w:val="both"/>
    </w:pPr>
    <w:rPr>
      <w:rFonts w:ascii="宋体" w:hAnsi="Times New Roman" w:eastAsia="宋体" w:cs="Times New Roman"/>
      <w:sz w:val="18"/>
      <w:szCs w:val="18"/>
      <w:lang w:val="en-US" w:eastAsia="zh-CN" w:bidi="ar-SA"/>
    </w:rPr>
  </w:style>
  <w:style w:type="paragraph" w:customStyle="1" w:styleId="244">
    <w:name w:val="示例×："/>
    <w:basedOn w:val="5"/>
    <w:qFormat/>
    <w:uiPriority w:val="0"/>
    <w:pPr>
      <w:numPr>
        <w:numId w:val="0"/>
      </w:numPr>
      <w:spacing w:beforeLines="0" w:afterLines="0"/>
      <w:ind w:firstLine="363"/>
      <w:outlineLvl w:val="9"/>
    </w:pPr>
    <w:rPr>
      <w:rFonts w:ascii="宋体" w:eastAsia="宋体"/>
      <w:sz w:val="18"/>
      <w:szCs w:val="18"/>
    </w:rPr>
  </w:style>
  <w:style w:type="paragraph" w:customStyle="1" w:styleId="245">
    <w:name w:val="三级条标题"/>
    <w:basedOn w:val="240"/>
    <w:next w:val="6"/>
    <w:qFormat/>
    <w:uiPriority w:val="0"/>
    <w:pPr>
      <w:numPr>
        <w:ilvl w:val="0"/>
        <w:numId w:val="0"/>
      </w:numPr>
      <w:outlineLvl w:val="4"/>
    </w:pPr>
  </w:style>
  <w:style w:type="paragraph" w:customStyle="1" w:styleId="246">
    <w:name w:val="注：（正文）"/>
    <w:basedOn w:val="1"/>
    <w:next w:val="6"/>
    <w:qFormat/>
    <w:uiPriority w:val="0"/>
    <w:pPr>
      <w:numPr>
        <w:ilvl w:val="0"/>
        <w:numId w:val="33"/>
      </w:numPr>
      <w:autoSpaceDE w:val="0"/>
      <w:autoSpaceDN w:val="0"/>
      <w:adjustRightInd/>
      <w:spacing w:line="240" w:lineRule="auto"/>
    </w:pPr>
    <w:rPr>
      <w:rFonts w:ascii="宋体" w:hAnsi="Times New Roman"/>
      <w:kern w:val="0"/>
      <w:sz w:val="18"/>
      <w:szCs w:val="18"/>
    </w:rPr>
  </w:style>
  <w:style w:type="paragraph" w:styleId="247">
    <w:name w:val="List Paragraph"/>
    <w:basedOn w:val="1"/>
    <w:qFormat/>
    <w:uiPriority w:val="34"/>
    <w:pPr>
      <w:ind w:firstLine="420" w:firstLineChars="200"/>
    </w:pPr>
  </w:style>
  <w:style w:type="paragraph" w:customStyle="1" w:styleId="248">
    <w:name w:val="修订1"/>
    <w:hidden/>
    <w:semiHidden/>
    <w:qFormat/>
    <w:uiPriority w:val="99"/>
    <w:rPr>
      <w:rFonts w:ascii="Calibri" w:hAnsi="Calibri" w:eastAsia="宋体" w:cs="Times New Roman"/>
      <w:kern w:val="2"/>
      <w:sz w:val="21"/>
      <w:szCs w:val="21"/>
      <w:lang w:val="en-US" w:eastAsia="zh-CN" w:bidi="ar-SA"/>
    </w:rPr>
  </w:style>
  <w:style w:type="paragraph" w:customStyle="1" w:styleId="24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0">
    <w:name w:val="标准书脚_偶数页"/>
    <w:qFormat/>
    <w:uiPriority w:val="0"/>
    <w:pPr>
      <w:spacing w:before="120"/>
    </w:pPr>
    <w:rPr>
      <w:rFonts w:ascii="Times New Roman" w:hAnsi="Times New Roman" w:eastAsia="宋体" w:cs="Times New Roman"/>
      <w:sz w:val="18"/>
      <w:lang w:val="en-US" w:eastAsia="zh-CN" w:bidi="ar-SA"/>
    </w:rPr>
  </w:style>
  <w:style w:type="table" w:customStyle="1" w:styleId="251">
    <w:name w:val="Table Normal11"/>
    <w:basedOn w:val="33"/>
    <w:qFormat/>
    <w:uiPriority w:val="0"/>
    <w:rPr>
      <w:rFonts w:eastAsia="Times New Roman"/>
    </w:rPr>
    <w:tblPr>
      <w:tblCellMar>
        <w:left w:w="0" w:type="dxa"/>
        <w:right w:w="0" w:type="dxa"/>
      </w:tblCellMar>
    </w:tblPr>
  </w:style>
  <w:style w:type="paragraph" w:customStyle="1" w:styleId="252">
    <w:name w:val="WPSOffice手动目录 1"/>
    <w:qFormat/>
    <w:uiPriority w:val="0"/>
    <w:pPr>
      <w:ind w:leftChars="0"/>
    </w:pPr>
    <w:rPr>
      <w:rFonts w:ascii="Times New Roman" w:hAnsi="Times New Roman" w:eastAsia="宋体" w:cs="Times New Roman"/>
      <w:sz w:val="20"/>
      <w:szCs w:val="20"/>
    </w:rPr>
  </w:style>
  <w:style w:type="paragraph" w:customStyle="1" w:styleId="253">
    <w:name w:val="WPSOffice手动目录 2"/>
    <w:qFormat/>
    <w:uiPriority w:val="0"/>
    <w:pPr>
      <w:ind w:leftChars="200"/>
    </w:pPr>
    <w:rPr>
      <w:rFonts w:ascii="Times New Roman" w:hAnsi="Times New Roman" w:eastAsia="宋体" w:cs="Times New Roman"/>
      <w:sz w:val="20"/>
      <w:szCs w:val="20"/>
    </w:rPr>
  </w:style>
  <w:style w:type="paragraph" w:customStyle="1" w:styleId="254">
    <w:name w:val="前言、引言标题"/>
    <w:next w:val="1"/>
    <w:qFormat/>
    <w:uiPriority w:val="0"/>
    <w:pPr>
      <w:numPr>
        <w:ilvl w:val="0"/>
        <w:numId w:val="3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5">
    <w:name w:val="目次、标准名称标题"/>
    <w:basedOn w:val="254"/>
    <w:next w:val="6"/>
    <w:qFormat/>
    <w:uiPriority w:val="0"/>
    <w:pPr>
      <w:numPr>
        <w:ilvl w:val="0"/>
        <w:numId w:val="0"/>
      </w:numPr>
      <w:spacing w:line="460" w:lineRule="exact"/>
    </w:pPr>
  </w:style>
  <w:style w:type="paragraph" w:customStyle="1" w:styleId="25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7">
    <w:name w:val="标准书眉_偶数页"/>
    <w:basedOn w:val="256"/>
    <w:next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C0D05-5A17-4F66-A1E6-93C1A9A1A51B}">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17</Pages>
  <Words>3289</Words>
  <Characters>3886</Characters>
  <Lines>44</Lines>
  <Paragraphs>12</Paragraphs>
  <TotalTime>3</TotalTime>
  <ScaleCrop>false</ScaleCrop>
  <LinksUpToDate>false</LinksUpToDate>
  <CharactersWithSpaces>4183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2023-04-04T06:00:00Z</dcterms:created>
  <dc:creator>dreamsummit</dc:creator>
  <dc:description>&lt;config cover="true" show_menu="true" version="1.0.0" doctype="SDKXY"&gt;_x000d_
&lt;/config&gt;</dc:description>
  <cp:lastModifiedBy>小苗</cp:lastModifiedBy>
  <cp:lastPrinted>2024-05-17T03:18:00Z</cp:lastPrinted>
  <dcterms:modified xsi:type="dcterms:W3CDTF">2025-01-23T02:51:37Z</dcterms:modified>
  <dc:title>地方标准</dc:title>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C0859CA3E6644527AD7D3B595C0138B8_13</vt:lpwstr>
  </property>
  <property fmtid="{D5CDD505-2E9C-101B-9397-08002B2CF9AE}" pid="16" name="DoublePage">
    <vt:lpwstr>true</vt:lpwstr>
  </property>
  <property fmtid="{D5CDD505-2E9C-101B-9397-08002B2CF9AE}" pid="17" name="KSOTemplateDocerSaveRecord">
    <vt:lpwstr>eyJoZGlkIjoiZjFlZDEzYWI3NWVjZjRlZDg1MjY2Mjg1NWJmYjM1OWEiLCJ1c2VySWQiOiIxMTM3MDI0NzMxIn0=</vt:lpwstr>
  </property>
</Properties>
</file>