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360" w:lineRule="auto"/>
        <w:ind w:right="560"/>
        <w:jc w:val="righ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561" w:tblpY="2800"/>
        <w:tblW w:w="130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1806"/>
        <w:gridCol w:w="1806"/>
        <w:gridCol w:w="1021"/>
        <w:gridCol w:w="1020"/>
        <w:gridCol w:w="1702"/>
        <w:gridCol w:w="1531"/>
        <w:gridCol w:w="35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序号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招聘单位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岗位类别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性别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auto"/>
              <w:ind w:left="0" w:leftChars="0" w:right="0" w:rightChars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</w:rPr>
              <w:t>出生年月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auto"/>
              <w:ind w:left="0" w:leftChars="0" w:right="0" w:rightChars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</w:rPr>
              <w:t>学历学位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毕业院校及专业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"/>
              </w:tabs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湖北省食品质量安全监督检验研究院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专业技术岗位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孟春燕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女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  <w:t>1991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-</w:t>
            </w:r>
            <w:r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  <w:t>02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学士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中南财经政法大学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会计学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2</w:t>
            </w:r>
          </w:p>
        </w:tc>
        <w:tc>
          <w:tcPr>
            <w:tcW w:w="180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专业技术岗位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郭雅晴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女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  <w:t>1995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-</w:t>
            </w:r>
            <w:r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  <w:t>05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硕士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韩国首尔大学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食品营养学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年湖北省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食品质量安全监督检验研究院统一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公开招聘拟聘用人员公示名单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line="450" w:lineRule="atLeast"/>
        <w:ind w:left="300" w:right="300" w:firstLine="0"/>
        <w:jc w:val="center"/>
        <w:rPr>
          <w:rFonts w:hint="eastAsia" w:ascii="微软雅黑" w:hAnsi="微软雅黑" w:eastAsia="微软雅黑" w:cs="微软雅黑"/>
          <w:caps w:val="0"/>
          <w:color w:val="448ACA"/>
          <w:spacing w:val="0"/>
          <w:sz w:val="36"/>
          <w:szCs w:val="36"/>
          <w:shd w:val="clear" w:color="auto" w:fill="FFFFFF"/>
        </w:rPr>
      </w:pPr>
    </w:p>
    <w:p>
      <w:pPr>
        <w:pStyle w:val="5"/>
        <w:widowControl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/>
        </w:rPr>
        <w:t xml:space="preserve">                       </w:t>
      </w:r>
    </w:p>
    <w:sectPr>
      <w:pgSz w:w="16838" w:h="11906" w:orient="landscape"/>
      <w:pgMar w:top="1587" w:right="2064" w:bottom="1417" w:left="1984" w:header="851" w:footer="992" w:gutter="0"/>
      <w:paperSrc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66"/>
    <w:rsid w:val="000A4986"/>
    <w:rsid w:val="000D5249"/>
    <w:rsid w:val="000F2F23"/>
    <w:rsid w:val="0015649F"/>
    <w:rsid w:val="001C3724"/>
    <w:rsid w:val="001F0B5F"/>
    <w:rsid w:val="00212173"/>
    <w:rsid w:val="002507FF"/>
    <w:rsid w:val="00265BDC"/>
    <w:rsid w:val="00293526"/>
    <w:rsid w:val="00330089"/>
    <w:rsid w:val="0035032A"/>
    <w:rsid w:val="003B3036"/>
    <w:rsid w:val="00432F7B"/>
    <w:rsid w:val="00436E9D"/>
    <w:rsid w:val="0045378B"/>
    <w:rsid w:val="004A0007"/>
    <w:rsid w:val="004A7D4F"/>
    <w:rsid w:val="004B02E8"/>
    <w:rsid w:val="004C198A"/>
    <w:rsid w:val="005604B2"/>
    <w:rsid w:val="005620E7"/>
    <w:rsid w:val="005725DC"/>
    <w:rsid w:val="005C752D"/>
    <w:rsid w:val="005D3AE2"/>
    <w:rsid w:val="005E2170"/>
    <w:rsid w:val="005E6C1B"/>
    <w:rsid w:val="00632C3D"/>
    <w:rsid w:val="00646CF3"/>
    <w:rsid w:val="00657364"/>
    <w:rsid w:val="006D6A02"/>
    <w:rsid w:val="006E5F38"/>
    <w:rsid w:val="007074EA"/>
    <w:rsid w:val="00712066"/>
    <w:rsid w:val="007160D6"/>
    <w:rsid w:val="00725009"/>
    <w:rsid w:val="00741649"/>
    <w:rsid w:val="007513FA"/>
    <w:rsid w:val="00762AF1"/>
    <w:rsid w:val="007675BA"/>
    <w:rsid w:val="007D20C6"/>
    <w:rsid w:val="007D47F4"/>
    <w:rsid w:val="00807372"/>
    <w:rsid w:val="00810CDC"/>
    <w:rsid w:val="00824E1D"/>
    <w:rsid w:val="00836175"/>
    <w:rsid w:val="00863FDF"/>
    <w:rsid w:val="00866381"/>
    <w:rsid w:val="00883AB0"/>
    <w:rsid w:val="008A220B"/>
    <w:rsid w:val="008B299A"/>
    <w:rsid w:val="008E6176"/>
    <w:rsid w:val="0092375D"/>
    <w:rsid w:val="009510F0"/>
    <w:rsid w:val="009B3AAC"/>
    <w:rsid w:val="009D4212"/>
    <w:rsid w:val="00AB391F"/>
    <w:rsid w:val="00AD2005"/>
    <w:rsid w:val="00B07DE5"/>
    <w:rsid w:val="00B416A8"/>
    <w:rsid w:val="00B53766"/>
    <w:rsid w:val="00BA24A0"/>
    <w:rsid w:val="00BF2E4E"/>
    <w:rsid w:val="00C31441"/>
    <w:rsid w:val="00C468C0"/>
    <w:rsid w:val="00C87097"/>
    <w:rsid w:val="00D45967"/>
    <w:rsid w:val="00D66B37"/>
    <w:rsid w:val="00DC2365"/>
    <w:rsid w:val="00DE6870"/>
    <w:rsid w:val="00DF1442"/>
    <w:rsid w:val="00DF4A24"/>
    <w:rsid w:val="00E90F64"/>
    <w:rsid w:val="00E92A26"/>
    <w:rsid w:val="00E9383D"/>
    <w:rsid w:val="00EB1C90"/>
    <w:rsid w:val="00EC4074"/>
    <w:rsid w:val="00EE481C"/>
    <w:rsid w:val="00F40540"/>
    <w:rsid w:val="00F43C40"/>
    <w:rsid w:val="00F5355C"/>
    <w:rsid w:val="00F775EA"/>
    <w:rsid w:val="00FA1664"/>
    <w:rsid w:val="00FE13E1"/>
    <w:rsid w:val="01DC1DA4"/>
    <w:rsid w:val="0725012E"/>
    <w:rsid w:val="077F63F4"/>
    <w:rsid w:val="0A3A639F"/>
    <w:rsid w:val="0BF97C11"/>
    <w:rsid w:val="0CF36A03"/>
    <w:rsid w:val="13F2383D"/>
    <w:rsid w:val="14B03C03"/>
    <w:rsid w:val="15761EAD"/>
    <w:rsid w:val="17B83F8A"/>
    <w:rsid w:val="18107E41"/>
    <w:rsid w:val="3DAA0FFB"/>
    <w:rsid w:val="402D6224"/>
    <w:rsid w:val="4DE766E4"/>
    <w:rsid w:val="4FFF5BBB"/>
    <w:rsid w:val="517834B1"/>
    <w:rsid w:val="58C32F7C"/>
    <w:rsid w:val="66885671"/>
    <w:rsid w:val="68760BEF"/>
    <w:rsid w:val="6B5145D3"/>
    <w:rsid w:val="6FB30D34"/>
    <w:rsid w:val="79A32A7C"/>
    <w:rsid w:val="E6FBF7C1"/>
    <w:rsid w:val="F69AD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2020-12-01T19:28:00Z</dcterms:created>
  <dc:creator>zhaopin</dc:creator>
  <cp:lastModifiedBy>Kasama</cp:lastModifiedBy>
  <cp:lastPrinted>2021-10-12T05:22:48Z</cp:lastPrinted>
  <dcterms:modified xsi:type="dcterms:W3CDTF">2021-10-13T00:49:57Z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9FD43B11C40C426ABDDF7625ABBF0EDC</vt:lpwstr>
  </property>
</Properties>
</file>